
<file path=[Content_Types].xml><?xml version="1.0" encoding="utf-8"?>
<Types xmlns="http://schemas.openxmlformats.org/package/2006/content-types">
  <Default Extension="emf" ContentType="image/x-emf"/>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832AD8D">
      <w:pPr>
        <w:keepNext w:val="0"/>
        <w:keepLines w:val="0"/>
        <w:pageBreakBefore w:val="0"/>
        <w:kinsoku/>
        <w:wordWrap/>
        <w:overflowPunct/>
        <w:topLinePunct w:val="0"/>
        <w:autoSpaceDE/>
        <w:autoSpaceDN/>
        <w:bidi w:val="0"/>
        <w:spacing w:line="360" w:lineRule="auto"/>
        <w:jc w:val="center"/>
        <w:textAlignment w:val="auto"/>
        <w:rPr>
          <w:rFonts w:hint="eastAsia" w:ascii="仿宋" w:hAnsi="仿宋" w:eastAsia="仿宋" w:cs="仿宋"/>
          <w:b/>
          <w:bCs/>
          <w:sz w:val="30"/>
          <w:szCs w:val="30"/>
        </w:rPr>
      </w:pPr>
      <w:r>
        <w:rPr>
          <w:rFonts w:hint="eastAsia" w:ascii="仿宋" w:hAnsi="仿宋" w:eastAsia="仿宋" w:cs="仿宋"/>
          <w:b/>
          <w:bCs/>
          <w:sz w:val="30"/>
          <w:szCs w:val="30"/>
        </w:rPr>
        <w:t>绵竹市农业科技碳循环双创产业融合示范园项目</w:t>
      </w:r>
    </w:p>
    <w:p w14:paraId="5D49DB7E">
      <w:pPr>
        <w:keepNext w:val="0"/>
        <w:keepLines w:val="0"/>
        <w:pageBreakBefore w:val="0"/>
        <w:kinsoku/>
        <w:wordWrap/>
        <w:overflowPunct/>
        <w:topLinePunct w:val="0"/>
        <w:autoSpaceDE/>
        <w:autoSpaceDN/>
        <w:bidi w:val="0"/>
        <w:spacing w:line="360" w:lineRule="auto"/>
        <w:jc w:val="center"/>
        <w:textAlignment w:val="auto"/>
        <w:rPr>
          <w:rFonts w:hint="eastAsia" w:ascii="仿宋" w:hAnsi="仿宋" w:eastAsia="仿宋" w:cs="仿宋"/>
          <w:b/>
          <w:bCs/>
          <w:color w:val="000000" w:themeColor="text1"/>
          <w:spacing w:val="-20"/>
          <w:sz w:val="30"/>
          <w:szCs w:val="30"/>
          <w14:textFill>
            <w14:solidFill>
              <w14:schemeClr w14:val="tx1"/>
            </w14:solidFill>
          </w14:textFill>
        </w:rPr>
      </w:pPr>
      <w:r>
        <w:rPr>
          <w:rFonts w:hint="eastAsia" w:ascii="仿宋" w:hAnsi="仿宋" w:eastAsia="仿宋" w:cs="仿宋"/>
          <w:b/>
          <w:bCs/>
          <w:sz w:val="30"/>
          <w:szCs w:val="30"/>
        </w:rPr>
        <w:t>项目</w:t>
      </w:r>
      <w:r>
        <w:rPr>
          <w:rFonts w:hint="eastAsia" w:ascii="仿宋" w:hAnsi="仿宋" w:eastAsia="仿宋" w:cs="仿宋"/>
          <w:b/>
          <w:bCs/>
          <w:color w:val="000000" w:themeColor="text1"/>
          <w:sz w:val="30"/>
          <w:szCs w:val="30"/>
          <w14:textFill>
            <w14:solidFill>
              <w14:schemeClr w14:val="tx1"/>
            </w14:solidFill>
          </w14:textFill>
        </w:rPr>
        <w:t>情况</w:t>
      </w:r>
    </w:p>
    <w:p w14:paraId="5C1935FB">
      <w:pPr>
        <w:keepNext w:val="0"/>
        <w:keepLines w:val="0"/>
        <w:pageBreakBefore w:val="0"/>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p>
    <w:p w14:paraId="59E50321">
      <w:pPr>
        <w:keepNext w:val="0"/>
        <w:keepLines w:val="0"/>
        <w:pageBreakBefore w:val="0"/>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一、项目基本情况</w:t>
      </w:r>
    </w:p>
    <w:p w14:paraId="2CBBC333">
      <w:pPr>
        <w:keepNext w:val="0"/>
        <w:keepLines w:val="0"/>
        <w:pageBreakBefore w:val="0"/>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（一）市县及行业专项规划</w:t>
      </w:r>
    </w:p>
    <w:p w14:paraId="5F766B39">
      <w:pPr>
        <w:keepNext w:val="0"/>
        <w:keepLines w:val="0"/>
        <w:pageBreakBefore w:val="0"/>
        <w:numPr>
          <w:ilvl w:val="0"/>
          <w:numId w:val="0"/>
        </w:numPr>
        <w:tabs>
          <w:tab w:val="left" w:pos="360"/>
        </w:tabs>
        <w:kinsoku/>
        <w:wordWrap/>
        <w:overflowPunct/>
        <w:topLinePunct w:val="0"/>
        <w:autoSpaceDE/>
        <w:autoSpaceDN/>
        <w:bidi w:val="0"/>
        <w:spacing w:line="360" w:lineRule="auto"/>
        <w:ind w:firstLine="602" w:firstLineChars="200"/>
        <w:outlineLvl w:val="1"/>
        <w:rPr>
          <w:rFonts w:hint="eastAsia" w:ascii="仿宋" w:hAnsi="仿宋" w:eastAsia="仿宋" w:cs="仿宋"/>
          <w:b/>
          <w:bCs/>
          <w:kern w:val="2"/>
          <w:sz w:val="30"/>
          <w:szCs w:val="30"/>
          <w:lang w:val="en-US" w:eastAsia="zh-CN" w:bidi="ar-SA"/>
        </w:rPr>
      </w:pPr>
      <w:r>
        <w:rPr>
          <w:rFonts w:hint="eastAsia" w:ascii="仿宋" w:hAnsi="仿宋" w:eastAsia="仿宋" w:cs="仿宋"/>
          <w:b/>
          <w:bCs/>
          <w:kern w:val="2"/>
          <w:sz w:val="30"/>
          <w:szCs w:val="30"/>
          <w:lang w:val="en-US" w:eastAsia="zh-CN" w:bidi="ar-SA"/>
        </w:rPr>
        <w:t>1.行业专项规划</w:t>
      </w:r>
    </w:p>
    <w:p w14:paraId="45F0F051">
      <w:pPr>
        <w:pStyle w:val="5"/>
        <w:pageBreakBefore w:val="0"/>
        <w:numPr>
          <w:ilvl w:val="2"/>
          <w:numId w:val="0"/>
        </w:numPr>
        <w:tabs>
          <w:tab w:val="left" w:pos="360"/>
          <w:tab w:val="clear" w:pos="-258"/>
          <w:tab w:val="clear" w:pos="0"/>
        </w:tabs>
        <w:kinsoku/>
        <w:wordWrap/>
        <w:overflowPunct/>
        <w:topLinePunct w:val="0"/>
        <w:autoSpaceDE/>
        <w:autoSpaceDN/>
        <w:bidi w:val="0"/>
        <w:spacing w:line="360" w:lineRule="auto"/>
        <w:ind w:firstLine="643" w:firstLineChars="200"/>
        <w:jc w:val="both"/>
        <w:rPr>
          <w:rFonts w:hint="eastAsia" w:ascii="仿宋" w:hAnsi="仿宋" w:eastAsia="仿宋" w:cs="仿宋"/>
          <w:lang w:val="en-US"/>
        </w:rPr>
      </w:pPr>
      <w:bookmarkStart w:id="0" w:name="_Toc7387"/>
      <w:r>
        <w:rPr>
          <w:rFonts w:hint="eastAsia" w:ascii="仿宋" w:hAnsi="仿宋" w:eastAsia="仿宋" w:cs="仿宋"/>
          <w:lang w:val="en-US" w:eastAsia="zh-CN"/>
        </w:rPr>
        <w:t>2021年中央一号文件</w:t>
      </w:r>
      <w:bookmarkEnd w:id="0"/>
    </w:p>
    <w:p w14:paraId="02ADD4D6">
      <w:pPr>
        <w:pageBreakBefore w:val="0"/>
        <w:numPr>
          <w:ilvl w:val="0"/>
          <w:numId w:val="0"/>
        </w:numPr>
        <w:kinsoku/>
        <w:wordWrap/>
        <w:overflowPunct/>
        <w:topLinePunct w:val="0"/>
        <w:autoSpaceDE/>
        <w:autoSpaceDN/>
        <w:bidi w:val="0"/>
        <w:spacing w:line="360" w:lineRule="auto"/>
        <w:ind w:firstLine="640" w:firstLineChars="200"/>
        <w:jc w:val="both"/>
        <w:outlineLvl w:val="9"/>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《中共中央国务院关于全面推进乡村振兴加快农业农村现代化的意见》是21世纪以来第18个指导“三农”工作的中央一号文件。文件指出，</w:t>
      </w:r>
      <w:r>
        <w:rPr>
          <w:rFonts w:hint="eastAsia" w:ascii="仿宋" w:hAnsi="仿宋" w:eastAsia="仿宋" w:cs="仿宋"/>
          <w:b/>
          <w:bCs/>
          <w:sz w:val="32"/>
          <w:szCs w:val="32"/>
          <w:lang w:val="en-US" w:eastAsia="zh-CN"/>
        </w:rPr>
        <w:t>民族要复兴，乡村必振兴</w:t>
      </w:r>
      <w:r>
        <w:rPr>
          <w:rFonts w:hint="eastAsia" w:ascii="仿宋" w:hAnsi="仿宋" w:eastAsia="仿宋" w:cs="仿宋"/>
          <w:sz w:val="32"/>
          <w:szCs w:val="32"/>
          <w:lang w:val="en-US" w:eastAsia="zh-CN"/>
        </w:rPr>
        <w:t>。要坚持把解决好“三农”问题作为全党工作重中之重，把全面推进乡村振兴作为实现中华民族伟大复兴的一项重大任务，举全党全社会之力加快农业农村现代化，让广大农民过上更加美好的生活。</w:t>
      </w:r>
    </w:p>
    <w:p w14:paraId="67F48F3F">
      <w:pPr>
        <w:pageBreakBefore w:val="0"/>
        <w:numPr>
          <w:ilvl w:val="0"/>
          <w:numId w:val="0"/>
        </w:numPr>
        <w:kinsoku/>
        <w:wordWrap/>
        <w:overflowPunct/>
        <w:topLinePunct w:val="0"/>
        <w:autoSpaceDE/>
        <w:autoSpaceDN/>
        <w:bidi w:val="0"/>
        <w:spacing w:line="360" w:lineRule="auto"/>
        <w:ind w:firstLine="640" w:firstLineChars="200"/>
        <w:jc w:val="both"/>
        <w:outlineLvl w:val="9"/>
        <w:rPr>
          <w:rFonts w:hint="eastAsia" w:ascii="仿宋" w:hAnsi="仿宋" w:eastAsia="仿宋" w:cs="仿宋"/>
          <w:b/>
          <w:bCs/>
          <w:sz w:val="32"/>
          <w:szCs w:val="32"/>
          <w:lang w:val="en-US" w:eastAsia="zh-CN"/>
        </w:rPr>
      </w:pPr>
      <w:r>
        <w:rPr>
          <w:rFonts w:hint="eastAsia" w:ascii="仿宋" w:hAnsi="仿宋" w:eastAsia="仿宋" w:cs="仿宋"/>
          <w:sz w:val="32"/>
          <w:szCs w:val="32"/>
          <w:lang w:val="en-US" w:eastAsia="zh-CN"/>
        </w:rPr>
        <w:t>《意见》明确目标任务：2021年，农业供给侧结构性改革深入推进，粮食播种面积保持稳定、产量达到1.3万亿斤以上，农产品质量和食品安全水平进一步提高，农民收入增长继续快于城镇居民，脱贫攻坚成果持续巩固。</w:t>
      </w:r>
      <w:r>
        <w:rPr>
          <w:rFonts w:hint="eastAsia" w:ascii="仿宋" w:hAnsi="仿宋" w:eastAsia="仿宋" w:cs="仿宋"/>
          <w:b/>
          <w:bCs/>
          <w:sz w:val="32"/>
          <w:szCs w:val="32"/>
          <w:lang w:val="en-US" w:eastAsia="zh-CN"/>
        </w:rPr>
        <w:t>农业农村现代化规划启动实施，脱贫攻坚巩固政策体系和工作机制同乡村振兴有效衔接、平稳过渡，乡村建设行动全面启动，农村人居环境整治提升，农村改革重点任务深入推进，农村社会保持和谐稳定。</w:t>
      </w:r>
    </w:p>
    <w:p w14:paraId="6F94F9FE">
      <w:pPr>
        <w:pageBreakBefore w:val="0"/>
        <w:numPr>
          <w:ilvl w:val="0"/>
          <w:numId w:val="0"/>
        </w:numPr>
        <w:kinsoku/>
        <w:wordWrap/>
        <w:overflowPunct/>
        <w:topLinePunct w:val="0"/>
        <w:autoSpaceDE/>
        <w:autoSpaceDN/>
        <w:bidi w:val="0"/>
        <w:spacing w:line="360" w:lineRule="auto"/>
        <w:ind w:firstLine="640" w:firstLineChars="200"/>
        <w:jc w:val="both"/>
        <w:outlineLvl w:val="9"/>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《意见》中强调，</w:t>
      </w:r>
      <w:r>
        <w:rPr>
          <w:rFonts w:hint="eastAsia" w:ascii="仿宋" w:hAnsi="仿宋" w:eastAsia="仿宋" w:cs="仿宋"/>
          <w:b/>
          <w:bCs/>
          <w:sz w:val="32"/>
          <w:szCs w:val="32"/>
          <w:lang w:val="en-US" w:eastAsia="zh-CN"/>
        </w:rPr>
        <w:t>发展壮大乡村产业，拓宽农民增收渠道，需要实施数字乡村战略。深入推进“互联网+农业”，扩大农业物联网示范应用。</w:t>
      </w:r>
      <w:r>
        <w:rPr>
          <w:rFonts w:hint="eastAsia" w:ascii="仿宋" w:hAnsi="仿宋" w:eastAsia="仿宋" w:cs="仿宋"/>
          <w:sz w:val="32"/>
          <w:szCs w:val="32"/>
          <w:lang w:val="en-US" w:eastAsia="zh-CN"/>
        </w:rPr>
        <w:t>推进重要农产品全产业链大数据建设，加强国家数字农业农村系统建设。继续开展电子商务进农村综合示范，实施“互联网+”农产品出村进城工程。全面推进信息进村入户，依托“互联网+”推动公共服务向农村延伸。</w:t>
      </w:r>
    </w:p>
    <w:p w14:paraId="663F10A9">
      <w:pPr>
        <w:pStyle w:val="5"/>
        <w:pageBreakBefore w:val="0"/>
        <w:numPr>
          <w:ilvl w:val="2"/>
          <w:numId w:val="0"/>
        </w:numPr>
        <w:tabs>
          <w:tab w:val="left" w:pos="360"/>
          <w:tab w:val="clear" w:pos="-258"/>
          <w:tab w:val="clear" w:pos="0"/>
        </w:tabs>
        <w:kinsoku/>
        <w:wordWrap/>
        <w:overflowPunct/>
        <w:topLinePunct w:val="0"/>
        <w:autoSpaceDE/>
        <w:autoSpaceDN/>
        <w:bidi w:val="0"/>
        <w:spacing w:line="360" w:lineRule="auto"/>
        <w:ind w:firstLine="643" w:firstLineChars="200"/>
        <w:jc w:val="both"/>
        <w:rPr>
          <w:rFonts w:hint="eastAsia" w:ascii="仿宋" w:hAnsi="仿宋" w:eastAsia="仿宋" w:cs="仿宋"/>
          <w:lang w:val="en-US" w:eastAsia="zh-CN"/>
        </w:rPr>
      </w:pPr>
      <w:bookmarkStart w:id="1" w:name="_Toc7403"/>
      <w:r>
        <w:rPr>
          <w:rFonts w:hint="eastAsia" w:ascii="仿宋" w:hAnsi="仿宋" w:eastAsia="仿宋" w:cs="仿宋"/>
          <w:lang w:val="en-US" w:eastAsia="zh-CN"/>
        </w:rPr>
        <w:t>四川省/市/县“十三五”国民经济和社会发展规划</w:t>
      </w:r>
      <w:bookmarkEnd w:id="1"/>
    </w:p>
    <w:p w14:paraId="5B7E9397">
      <w:pPr>
        <w:pageBreakBefore w:val="0"/>
        <w:numPr>
          <w:ilvl w:val="0"/>
          <w:numId w:val="0"/>
        </w:numPr>
        <w:kinsoku/>
        <w:wordWrap/>
        <w:overflowPunct/>
        <w:topLinePunct w:val="0"/>
        <w:autoSpaceDE/>
        <w:autoSpaceDN/>
        <w:bidi w:val="0"/>
        <w:spacing w:line="360" w:lineRule="auto"/>
        <w:ind w:firstLine="640" w:firstLineChars="200"/>
        <w:jc w:val="both"/>
        <w:outlineLvl w:val="9"/>
        <w:rPr>
          <w:rFonts w:hint="eastAsia" w:ascii="仿宋" w:hAnsi="仿宋" w:eastAsia="仿宋" w:cs="仿宋"/>
          <w:sz w:val="32"/>
          <w:szCs w:val="32"/>
          <w:lang w:val="en-US" w:eastAsia="zh-CN"/>
        </w:rPr>
      </w:pPr>
      <w:r>
        <w:rPr>
          <w:rFonts w:hint="eastAsia" w:ascii="仿宋" w:hAnsi="仿宋" w:eastAsia="仿宋" w:cs="仿宋"/>
          <w:sz w:val="32"/>
          <w:szCs w:val="32"/>
          <w:lang w:val="en-US" w:eastAsia="zh-CN"/>
        </w:rPr>
        <w:t>《关于切实加强高标准农田建设提升国家粮食安全保障能力的意见》目标任务，到2020年，全国建成8亿亩集中连片、旱涝保收、节水高效、稳产高产、生态友好的高标准农田；到2022年，建成10亿亩高标准农田以此稳定保障1万亿斤以上粮食产能；到2035年，通过持续改造提升，全国高标准农田保有量进一步提高，不断夯实国家粮食安全保障基础。《全国农业可持续发展规划（2015—2030年）》规划的重点任务包括，提升耕地质量。采取深耕深松、保护性耕作、秸秆还田、增施有机肥、种植绿肥等土壤改良方式，增加土壤有机质，提升土壤肥力。恢复和培育土壤微生物群落，构建养分健康循环通道，促进农业废弃物和环境有机物分解。加强东北黑土地保护，减缓黑土层流失。开展土地整治、中低产田改造、农田水利设施建设，加大高标准农田建设力度，到2020年建成集中连片、旱涝保收的8亿亩高标准农田。到2020年和2030年全国耕地基础地力提升0.5个等级和1个等级以上，粮食产出率稳步提高。严格控制工矿企业排放和城市垃圾、污水等农业外源性污染。防治耕地重金属污染和有机污染，建立农产品产地土壤分级管理利用制度。改善农村环境。科学编制村庄整治规划，加快农村环境综合整治，保护饮用水水源，加强生活污水、垃圾处理，加快构建农村清洁能源体系。推进规模化畜禽养殖区和居民生活区的科学分离。禁止秸秆露天焚烧，推进秸秆全量化利用，到2030年农业主产区农作物秸秆得到全面利用。开展生态村镇、美丽乡村创建，保护和修复自然景观和田园景观，开展农户及院落风貌整治和村庄绿化美化，整乡整村推进农村河道综合治理。注重农耕文化、民俗风情的挖掘展示和传承保护，推进休闲农业持续健康发展。《四川省乡村振兴战略规划（2018-2022年）》规划要求提高农业综合生产能力，坚持藏粮于地、藏粮于技，用现代物质装备武装农业，用现代科学技术服务农业，用现代生产方式改造农业，推进农业科技创新和成果应用，提高农业综合生产能力，保障粮食安全和农产品有效供给。</w:t>
      </w:r>
    </w:p>
    <w:p w14:paraId="008558C0">
      <w:pPr>
        <w:pageBreakBefore w:val="0"/>
        <w:numPr>
          <w:ilvl w:val="0"/>
          <w:numId w:val="0"/>
        </w:numPr>
        <w:kinsoku/>
        <w:wordWrap/>
        <w:overflowPunct/>
        <w:topLinePunct w:val="0"/>
        <w:autoSpaceDE/>
        <w:autoSpaceDN/>
        <w:bidi w:val="0"/>
        <w:spacing w:line="360" w:lineRule="auto"/>
        <w:ind w:firstLine="640" w:firstLineChars="200"/>
        <w:jc w:val="both"/>
        <w:outlineLvl w:val="9"/>
        <w:rPr>
          <w:rFonts w:hint="eastAsia" w:ascii="仿宋" w:hAnsi="仿宋" w:eastAsia="仿宋" w:cs="仿宋"/>
          <w:lang w:val="en-US" w:eastAsia="zh-CN"/>
        </w:rPr>
      </w:pPr>
      <w:r>
        <w:rPr>
          <w:rFonts w:hint="eastAsia" w:ascii="仿宋" w:hAnsi="仿宋" w:eastAsia="仿宋" w:cs="仿宋"/>
          <w:sz w:val="32"/>
          <w:szCs w:val="32"/>
          <w:lang w:val="en-US" w:eastAsia="zh-CN"/>
        </w:rPr>
        <w:t>加强粮食安全保障能力建设。以粮食基本自给为导向，严守耕地红线，全面落实永久基本农田特殊保护制度，到2022年，确保粮食播种面积稳定在9000万亩以上，粮食生产能力稳定在700亿斤以上。加快划定和建设粮食生产功能区，打造一批产量稳定、技术先进、机制创新的粮食生产示范区。加强耕地保护和建设。大规模推进土地整治，加快建成集中连片、旱涝保收、稳产高产、生态友好、适宜机械化作业的高标准农田，全面提高农业发展的物质技术支撑水平。</w:t>
      </w:r>
      <w:r>
        <w:rPr>
          <w:rFonts w:hint="eastAsia" w:ascii="仿宋" w:hAnsi="仿宋" w:eastAsia="仿宋" w:cs="仿宋"/>
          <w:b/>
          <w:bCs/>
          <w:sz w:val="32"/>
          <w:szCs w:val="32"/>
          <w:lang w:val="en-US" w:eastAsia="zh-CN"/>
        </w:rPr>
        <w:t>构建现代农业产业体系，以建基地、创品牌、搞加工为重点，着力推动农业由增产导向转向提质导向，加快构建现代农业产业体系，推动形成一批特色优势明显的全链条、高质量、高效益的现代农业产业集群，实现区域产业协同发展</w:t>
      </w:r>
      <w:r>
        <w:rPr>
          <w:rFonts w:hint="eastAsia" w:ascii="仿宋" w:hAnsi="仿宋" w:eastAsia="仿宋" w:cs="仿宋"/>
          <w:sz w:val="32"/>
          <w:szCs w:val="32"/>
          <w:lang w:val="en-US" w:eastAsia="zh-CN"/>
        </w:rPr>
        <w:t>。实施产业基地建设行动。以农产品主产区为主体，立足各地农业资源禀赋和比较优势，进一步巩固提升国家现代农业示范区，加快“三区三园”建设，促进主导产业区域布局优化。实施产业兴村强县行动，建设农业产业大基地，打造农业（林业、畜牧业）强县，加快优质粮油、薯类、蔬菜、水果、食用菌、花椒、核桃、蚕桑、竹木、茶叶、油橄榄、油茶、中药材、生猪、肉牛、肉羊、肉兔、淡水鱼、小龙虾等全产业链建设，建成全国优质粮油产品生产基地、全国优质特色农产品供给基地、国家商品猪战略保障基地、全国优质农产品加工基地和全国重要的战略性优质烟叶基地。加快建设与基地发展规模相适应的良种繁育基地，提高优质农产品供给能力。激发农村产业新动能。深入挖掘农业农村生态涵养、休闲观光、文化体验及康养等新价值，促进农业功能从提供物质产品向提供精神产品拓展，从提供有形产品向提供无形产品拓展。加速新理念、新技术向农业农村融合渗透，促进“农业＋旅游”“农业＋康养”“农业＋文创”等产业融合，着力培育农村新产业新业态，特别是推动竹产业多业态发展。加快发展休闲农业和乡村旅游，培育一批乡村旅游强县强企，推动农林牧渔等产品向旅游商品转化。依托农村产业融合发展试点示范县、现代农业产业融合示范园区、田园综合体建设等，打造农村产业融合发展综合平台，探索形成农业内部融合型、产业链延伸型、农业功能拓展型、新技术渗透型、产城融合型、多业态复合型等形式的农村产业融合模式。以农村垃圾、污水治理、“厕所革命”为重点，有序推进农村人居环境突出问题治理和监管能力建设，持续推进农村生产生活方式清洁化，全面提升农村人居环境质量。《川果产业振兴工作推进方案》主要目标，</w:t>
      </w:r>
      <w:r>
        <w:rPr>
          <w:rFonts w:hint="eastAsia" w:ascii="仿宋" w:hAnsi="仿宋" w:eastAsia="仿宋" w:cs="仿宋"/>
          <w:b/>
          <w:bCs/>
          <w:sz w:val="32"/>
          <w:szCs w:val="32"/>
          <w:lang w:val="en-US" w:eastAsia="zh-CN"/>
        </w:rPr>
        <w:t>到2022年，全省水果总面积达到1200万亩，总产量1200万吨，综合产值1000亿元，力争产业综合实力进入全国前三位。</w:t>
      </w:r>
      <w:r>
        <w:rPr>
          <w:rFonts w:hint="eastAsia" w:ascii="仿宋" w:hAnsi="仿宋" w:eastAsia="仿宋" w:cs="仿宋"/>
          <w:sz w:val="32"/>
          <w:szCs w:val="32"/>
          <w:lang w:val="en-US" w:eastAsia="zh-CN"/>
        </w:rPr>
        <w:t>桑园面积达到300万亩，蚕茧产量11万吨，桑果产量30万吨，生丝产量2万吨，蚕桑丝绸综合产值突破600亿元。核桃总面积稳定在1800万亩，总产量达到100万吨，综合产值200亿元。</w:t>
      </w:r>
      <w:r>
        <w:rPr>
          <w:rFonts w:hint="eastAsia" w:ascii="仿宋" w:hAnsi="仿宋" w:eastAsia="仿宋" w:cs="仿宋"/>
          <w:b/>
          <w:bCs/>
          <w:sz w:val="32"/>
          <w:szCs w:val="32"/>
          <w:lang w:val="en-US" w:eastAsia="zh-CN"/>
        </w:rPr>
        <w:t>力争将红心猕猴桃等六大优势产业打造成为川果产业金字招牌，其中：红心猕猴桃面积、产量、品牌影响力，力争做到全球领先，比肩新西兰；晚熟柑桔、柠檬、晚熟芒果、晚熟荔枝龙眼产业规模、产量、市场占有率和品牌影响力，力争做到全国第一；</w:t>
      </w:r>
      <w:r>
        <w:rPr>
          <w:rFonts w:hint="eastAsia" w:ascii="仿宋" w:hAnsi="仿宋" w:eastAsia="仿宋" w:cs="仿宋"/>
          <w:sz w:val="32"/>
          <w:szCs w:val="32"/>
          <w:lang w:val="en-US" w:eastAsia="zh-CN"/>
        </w:rPr>
        <w:t>蚕茧质量保持全国第一，综合实力全国领先。产业布局，遵循生态最适、基础良好的原则，重点推进30个水果重点县、30个蚕桑重点县、38个核桃重点县建设，引导产业集中、集群发展，加快形成五大优势水果产业带、八大特色水果生产区，川中北、川南、攀西三大蚕桑产业带，攀西地区、秦巴地区、川西高山峡谷区三大核桃集中发展区和威远无花果特色产业区。</w:t>
      </w:r>
    </w:p>
    <w:p w14:paraId="5F356C82">
      <w:pPr>
        <w:pStyle w:val="5"/>
        <w:pageBreakBefore w:val="0"/>
        <w:numPr>
          <w:ilvl w:val="2"/>
          <w:numId w:val="0"/>
        </w:numPr>
        <w:tabs>
          <w:tab w:val="left" w:pos="360"/>
          <w:tab w:val="clear" w:pos="-258"/>
          <w:tab w:val="clear" w:pos="0"/>
        </w:tabs>
        <w:kinsoku/>
        <w:wordWrap/>
        <w:overflowPunct/>
        <w:topLinePunct w:val="0"/>
        <w:autoSpaceDE/>
        <w:autoSpaceDN/>
        <w:bidi w:val="0"/>
        <w:spacing w:line="360" w:lineRule="auto"/>
        <w:ind w:firstLine="643" w:firstLineChars="200"/>
        <w:jc w:val="both"/>
        <w:rPr>
          <w:rFonts w:hint="eastAsia" w:ascii="仿宋" w:hAnsi="仿宋" w:eastAsia="仿宋" w:cs="仿宋"/>
          <w:lang w:val="en-US" w:eastAsia="zh-CN"/>
        </w:rPr>
      </w:pPr>
      <w:bookmarkStart w:id="2" w:name="_Toc21264"/>
      <w:r>
        <w:rPr>
          <w:rFonts w:hint="eastAsia" w:ascii="仿宋" w:hAnsi="仿宋" w:eastAsia="仿宋" w:cs="仿宋"/>
          <w:lang w:val="en-US" w:eastAsia="zh-CN"/>
        </w:rPr>
        <w:t>德阳市相关行业专项规划</w:t>
      </w:r>
      <w:bookmarkEnd w:id="2"/>
    </w:p>
    <w:p w14:paraId="74E10645">
      <w:pPr>
        <w:pageBreakBefore w:val="0"/>
        <w:numPr>
          <w:ilvl w:val="0"/>
          <w:numId w:val="0"/>
        </w:numPr>
        <w:kinsoku/>
        <w:wordWrap/>
        <w:overflowPunct/>
        <w:topLinePunct w:val="0"/>
        <w:autoSpaceDE/>
        <w:autoSpaceDN/>
        <w:bidi w:val="0"/>
        <w:spacing w:line="360" w:lineRule="auto"/>
        <w:ind w:firstLine="640" w:firstLineChars="200"/>
        <w:jc w:val="both"/>
        <w:outlineLvl w:val="9"/>
        <w:rPr>
          <w:rFonts w:hint="eastAsia" w:ascii="仿宋" w:hAnsi="仿宋" w:eastAsia="仿宋" w:cs="仿宋"/>
          <w:sz w:val="32"/>
          <w:szCs w:val="32"/>
        </w:rPr>
      </w:pPr>
      <w:r>
        <w:rPr>
          <w:rFonts w:hint="eastAsia" w:ascii="仿宋" w:hAnsi="仿宋" w:eastAsia="仿宋" w:cs="仿宋"/>
          <w:sz w:val="32"/>
          <w:szCs w:val="32"/>
        </w:rPr>
        <w:t>《202</w:t>
      </w:r>
      <w:r>
        <w:rPr>
          <w:rFonts w:hint="eastAsia" w:ascii="仿宋" w:hAnsi="仿宋" w:eastAsia="仿宋" w:cs="仿宋"/>
          <w:sz w:val="32"/>
          <w:szCs w:val="32"/>
          <w:lang w:val="en-US" w:eastAsia="zh-CN"/>
        </w:rPr>
        <w:t>1</w:t>
      </w:r>
      <w:r>
        <w:rPr>
          <w:rFonts w:hint="eastAsia" w:ascii="仿宋" w:hAnsi="仿宋" w:eastAsia="仿宋" w:cs="仿宋"/>
          <w:sz w:val="32"/>
          <w:szCs w:val="32"/>
        </w:rPr>
        <w:t>年德阳市人民政府工作报告》提出，要聚力推进农业农村现代化,走好乡村振兴新路子。围绕农业强、农村美、农民富,以产业振兴和生态振兴为突破口,统筹推进"五大振兴",加快农业农村现代化建设,争创西部乡村振兴先行示范市。</w:t>
      </w:r>
    </w:p>
    <w:p w14:paraId="150E5B5D">
      <w:pPr>
        <w:pageBreakBefore w:val="0"/>
        <w:numPr>
          <w:ilvl w:val="0"/>
          <w:numId w:val="0"/>
        </w:numPr>
        <w:kinsoku/>
        <w:wordWrap/>
        <w:overflowPunct/>
        <w:topLinePunct w:val="0"/>
        <w:autoSpaceDE/>
        <w:autoSpaceDN/>
        <w:bidi w:val="0"/>
        <w:spacing w:line="360" w:lineRule="auto"/>
        <w:ind w:firstLine="640" w:firstLineChars="200"/>
        <w:jc w:val="both"/>
        <w:outlineLvl w:val="9"/>
        <w:rPr>
          <w:rFonts w:hint="eastAsia" w:ascii="仿宋" w:hAnsi="仿宋" w:eastAsia="仿宋" w:cs="仿宋"/>
          <w:sz w:val="32"/>
          <w:szCs w:val="32"/>
        </w:rPr>
      </w:pPr>
      <w:r>
        <w:rPr>
          <w:rFonts w:hint="eastAsia" w:ascii="仿宋" w:hAnsi="仿宋" w:eastAsia="仿宋" w:cs="仿宋"/>
          <w:sz w:val="32"/>
          <w:szCs w:val="32"/>
        </w:rPr>
        <w:t>推动农业高质量发展。加快推进"双圈层"现代农业产业大环线建设,打造成德同城化乡村振兴先行示范带，建设具有全省影响力的乡村振兴精品项目10个，农林牧渔服增加值增长3.2%。做强特色富民产业,实施"2+5"产业培育计划,调整种植业结构,建成高标准农田13.5万亩,确保粮食总产量稳定。做好生猪保供稳价工作，完成270万头出栏。推进现代农业园区建设,创建省级现代农业园区1个,建设省级农产品加工园区3个、国家级农产品交易市场1个。推动农产品精深加工,做大做强什邡烟草产业、绵竹白酒产业和广汉火锅原料产业,新增"三品一标"农产品20个。</w:t>
      </w:r>
    </w:p>
    <w:p w14:paraId="2E595871">
      <w:pPr>
        <w:pageBreakBefore w:val="0"/>
        <w:numPr>
          <w:ilvl w:val="0"/>
          <w:numId w:val="0"/>
        </w:numPr>
        <w:kinsoku/>
        <w:wordWrap/>
        <w:overflowPunct/>
        <w:topLinePunct w:val="0"/>
        <w:autoSpaceDE/>
        <w:autoSpaceDN/>
        <w:bidi w:val="0"/>
        <w:spacing w:line="360" w:lineRule="auto"/>
        <w:ind w:firstLine="640" w:firstLineChars="200"/>
        <w:jc w:val="both"/>
        <w:outlineLvl w:val="9"/>
        <w:rPr>
          <w:rFonts w:hint="eastAsia" w:ascii="仿宋" w:hAnsi="仿宋" w:eastAsia="仿宋" w:cs="仿宋"/>
          <w:sz w:val="32"/>
          <w:szCs w:val="32"/>
        </w:rPr>
      </w:pPr>
      <w:r>
        <w:rPr>
          <w:rFonts w:hint="eastAsia" w:ascii="仿宋" w:hAnsi="仿宋" w:eastAsia="仿宋" w:cs="仿宋"/>
          <w:sz w:val="32"/>
          <w:szCs w:val="32"/>
        </w:rPr>
        <w:t>切实改善农村人居环境。加快建设美丽宜居乡村,争创省级乡村振兴先进县、先进镇、示范村12个以上。推进农村生活垃圾分类和资源化利用,生活垃圾有效治理行政村占比达95%以上。全面完成110个乡镇污水管网新(改)建项目,60%以上行政村具备生活污水处理能力。卫生厕所普及率达81%。开展高景关水库建设前期工作,华强沟水库达蓄水条件,石泉水库实现大坝封顶,实施市域内生态留水工程。硬化入组联户路2300公里。</w:t>
      </w:r>
    </w:p>
    <w:p w14:paraId="3CAA3F08">
      <w:pPr>
        <w:pageBreakBefore w:val="0"/>
        <w:numPr>
          <w:ilvl w:val="0"/>
          <w:numId w:val="0"/>
        </w:numPr>
        <w:kinsoku/>
        <w:wordWrap/>
        <w:overflowPunct/>
        <w:topLinePunct w:val="0"/>
        <w:autoSpaceDE/>
        <w:autoSpaceDN/>
        <w:bidi w:val="0"/>
        <w:spacing w:line="360" w:lineRule="auto"/>
        <w:ind w:firstLine="640" w:firstLineChars="200"/>
        <w:jc w:val="both"/>
        <w:outlineLvl w:val="9"/>
        <w:rPr>
          <w:rFonts w:hint="eastAsia" w:ascii="仿宋" w:hAnsi="仿宋" w:eastAsia="仿宋" w:cs="仿宋"/>
          <w:sz w:val="32"/>
          <w:szCs w:val="32"/>
        </w:rPr>
      </w:pPr>
      <w:r>
        <w:rPr>
          <w:rFonts w:hint="eastAsia" w:ascii="仿宋" w:hAnsi="仿宋" w:eastAsia="仿宋" w:cs="仿宋"/>
          <w:sz w:val="32"/>
          <w:szCs w:val="32"/>
        </w:rPr>
        <w:t>全面深化农业农村改革。大力推进农村"三变"改革,深化农村承包地"三权分置"改革,推进土地经营权规范有序流转,发展农业适度规模经营。持续深化供销社综合改革。</w:t>
      </w:r>
      <w:r>
        <w:rPr>
          <w:rFonts w:hint="eastAsia" w:ascii="仿宋" w:hAnsi="仿宋" w:eastAsia="仿宋" w:cs="仿宋"/>
          <w:b/>
          <w:bCs/>
          <w:sz w:val="32"/>
          <w:szCs w:val="32"/>
        </w:rPr>
        <w:t>探索农村宅基地有偿退出机制,盘活乡村闲置校舍、厂房等建设用地和闲置农房,支持乡村新产业新业态发展和返乡下乡创业</w:t>
      </w:r>
      <w:r>
        <w:rPr>
          <w:rFonts w:hint="eastAsia" w:ascii="仿宋" w:hAnsi="仿宋" w:eastAsia="仿宋" w:cs="仿宋"/>
          <w:sz w:val="32"/>
          <w:szCs w:val="32"/>
        </w:rPr>
        <w:t>。完成"新三农"平台建设,创新乡村振兴投融资模式。构建新型农业经营体系,培育新型职业农民1000人,新增省级及以上农民合作社10个、家庭农场20个。</w:t>
      </w:r>
    </w:p>
    <w:p w14:paraId="080FE115">
      <w:pPr>
        <w:pStyle w:val="5"/>
        <w:pageBreakBefore w:val="0"/>
        <w:numPr>
          <w:ilvl w:val="2"/>
          <w:numId w:val="0"/>
        </w:numPr>
        <w:tabs>
          <w:tab w:val="left" w:pos="360"/>
          <w:tab w:val="clear" w:pos="-258"/>
          <w:tab w:val="clear" w:pos="0"/>
        </w:tabs>
        <w:kinsoku/>
        <w:wordWrap/>
        <w:overflowPunct/>
        <w:topLinePunct w:val="0"/>
        <w:autoSpaceDE/>
        <w:autoSpaceDN/>
        <w:bidi w:val="0"/>
        <w:spacing w:line="360" w:lineRule="auto"/>
        <w:ind w:firstLine="643" w:firstLineChars="200"/>
        <w:jc w:val="both"/>
        <w:rPr>
          <w:rFonts w:hint="eastAsia" w:ascii="仿宋" w:hAnsi="仿宋" w:eastAsia="仿宋" w:cs="仿宋"/>
          <w:lang w:val="en-US" w:eastAsia="zh-CN"/>
        </w:rPr>
      </w:pPr>
      <w:bookmarkStart w:id="3" w:name="_Toc25302"/>
      <w:r>
        <w:rPr>
          <w:rFonts w:hint="eastAsia" w:ascii="仿宋" w:hAnsi="仿宋" w:eastAsia="仿宋" w:cs="仿宋"/>
          <w:lang w:val="en-US" w:eastAsia="zh-CN"/>
        </w:rPr>
        <w:t>绵竹市相关行业专项规划</w:t>
      </w:r>
      <w:bookmarkEnd w:id="3"/>
    </w:p>
    <w:p w14:paraId="32836142">
      <w:pPr>
        <w:pStyle w:val="1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180" w:beforeAutospacing="0" w:after="120" w:afterAutospacing="0" w:line="360" w:lineRule="auto"/>
        <w:ind w:left="0" w:right="0" w:firstLine="420"/>
        <w:jc w:val="both"/>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2021年绵竹市人民政府工作报告》提出主动融入成渝地区双城经济圈建设和成德同城化发展。推动公共服务共建共享，在教育、卫生、文化等方面谋实谋优一批合作项目。推动文旅协作共赢，参与打造“大九寨—大熊猫—大遗址—大蜀道—大灌区”等跨区域精品旅游线路，共建世界级旅游目的地。推动产业发展协同共兴，密切与先进发达地区产业、创新、人才等协作，瞄准装备制造行业，提升企业的制造水平和配套能力，使绵竹成为成渝地区双城经济圈制造业转移的首选地。</w:t>
      </w:r>
    </w:p>
    <w:p w14:paraId="7AD57FE1">
      <w:pPr>
        <w:pStyle w:val="1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180" w:beforeAutospacing="0" w:after="120" w:afterAutospacing="0" w:line="360" w:lineRule="auto"/>
        <w:ind w:right="0" w:firstLine="640" w:firstLineChars="200"/>
        <w:jc w:val="both"/>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全面深化重点改革。认真做好乡镇行政区划和村级建制调整改革“后半篇”文章。深化供给侧结构性改革，加快电力、土地、资本等要素市场化配置改革，提升金融服务实体经济能力。持续优化营商环境，深化“放管服”改革，加强审批服务标准化建设，充分运用大数据、云计算等技术手段，提高“就近办、网上办、一次办、马上办”审批服务能力。深化园区管理体制改革，支持园区相对封闭管理，探索完善以亩均效益和项目履约率为重点的考核体系。加快国土空间总体规划编制，做好省级乡村规划试点工作。深入推进农村“三变”改革，加快农村宅基地“三权分置”改革，进一步盘活农村闲置资产。持续深化供销社综合改革。</w:t>
      </w:r>
    </w:p>
    <w:p w14:paraId="5B291FF0">
      <w:pPr>
        <w:pStyle w:val="1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180" w:beforeAutospacing="0" w:after="120" w:afterAutospacing="0" w:line="360" w:lineRule="auto"/>
        <w:ind w:left="0" w:right="0" w:firstLine="420"/>
        <w:jc w:val="both"/>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全面扩大对外开放。瞄准江苏、成渝等地区，围绕优势产业延链、补链，新经济新业态建链、强链，建强专业化、企业化、市场化招商队伍，力争引进更多“一项兴一业、一业定乾坤”的重点项目，</w:t>
      </w:r>
      <w:r>
        <w:rPr>
          <w:rFonts w:hint="eastAsia" w:ascii="仿宋" w:hAnsi="仿宋" w:eastAsia="仿宋" w:cs="仿宋"/>
          <w:b/>
          <w:bCs/>
          <w:kern w:val="2"/>
          <w:sz w:val="32"/>
          <w:szCs w:val="32"/>
          <w:lang w:val="en-US" w:eastAsia="zh-CN" w:bidi="ar-SA"/>
        </w:rPr>
        <w:t>全年引进5亿元以上项目6个，其中30亿元以上项目2个，全年到位资金115亿元。深化“德阿合作”“绵九协作”，加快推进德阿产业园、九绵园建设，加强绵竹高新区与重庆江津白沙工业园产业协同发展</w:t>
      </w:r>
      <w:r>
        <w:rPr>
          <w:rFonts w:hint="eastAsia" w:ascii="仿宋" w:hAnsi="仿宋" w:eastAsia="仿宋" w:cs="仿宋"/>
          <w:kern w:val="2"/>
          <w:sz w:val="32"/>
          <w:szCs w:val="32"/>
          <w:lang w:val="en-US" w:eastAsia="zh-CN" w:bidi="ar-SA"/>
        </w:rPr>
        <w:t>。多形式开展城市推介，提升绵竹标识度，扩大对外影响力。培育创新主体。推动龙头企业牵头组建创新联合体，提升企业技术创新和产品竞争能力。全面深化企业和科研院校合作，深度共享关键技术和人才资源，实现创新链、产业链双向融合，组织实施30项重点关键技术攻关、重大科技成果转化项目，力争新认定国家高新技术企业5家，科技型中小企业入库70家。加强知识产权保护，深入推进国家知识产权强县工程示范县建设。</w:t>
      </w:r>
    </w:p>
    <w:p w14:paraId="68942BE0">
      <w:pPr>
        <w:pStyle w:val="1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180" w:beforeAutospacing="0" w:after="120" w:afterAutospacing="0" w:line="360" w:lineRule="auto"/>
        <w:ind w:left="0" w:right="0" w:firstLine="420"/>
        <w:jc w:val="both"/>
        <w:textAlignment w:val="auto"/>
        <w:rPr>
          <w:rFonts w:hint="eastAsia" w:ascii="仿宋" w:hAnsi="仿宋" w:eastAsia="仿宋" w:cs="仿宋"/>
          <w:b/>
          <w:bCs/>
          <w:kern w:val="2"/>
          <w:sz w:val="32"/>
          <w:szCs w:val="32"/>
          <w:lang w:val="en-US" w:eastAsia="zh-CN" w:bidi="ar-SA"/>
        </w:rPr>
      </w:pPr>
      <w:r>
        <w:rPr>
          <w:rFonts w:hint="eastAsia" w:ascii="仿宋" w:hAnsi="仿宋" w:eastAsia="仿宋" w:cs="仿宋"/>
          <w:kern w:val="2"/>
          <w:sz w:val="32"/>
          <w:szCs w:val="32"/>
          <w:lang w:val="en-US" w:eastAsia="zh-CN" w:bidi="ar-SA"/>
        </w:rPr>
        <w:t>建优创新平台。加强高水平研发机构创建，新认定省市级企业技术中心、工程技术中心、重点实验室、院士专家工作站等科技创新平台5家以上，累计认定超过30家。</w:t>
      </w:r>
      <w:r>
        <w:rPr>
          <w:rFonts w:hint="eastAsia" w:ascii="仿宋" w:hAnsi="仿宋" w:eastAsia="仿宋" w:cs="仿宋"/>
          <w:b/>
          <w:bCs/>
          <w:kern w:val="2"/>
          <w:sz w:val="32"/>
          <w:szCs w:val="32"/>
          <w:lang w:val="en-US" w:eastAsia="zh-CN" w:bidi="ar-SA"/>
        </w:rPr>
        <w:t>发挥科技企业孵化器、加速器作用，组织企业参加创业创新大赛等双创活动，激发中小微企业创新创业活力。</w:t>
      </w:r>
    </w:p>
    <w:p w14:paraId="794CD5BA">
      <w:pPr>
        <w:pStyle w:val="12"/>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color="auto" w:fill="FFFFFF"/>
        <w:kinsoku/>
        <w:wordWrap/>
        <w:overflowPunct/>
        <w:topLinePunct w:val="0"/>
        <w:autoSpaceDE/>
        <w:autoSpaceDN/>
        <w:bidi w:val="0"/>
        <w:adjustRightInd/>
        <w:snapToGrid/>
        <w:spacing w:before="180" w:beforeAutospacing="0" w:after="120" w:afterAutospacing="0" w:line="360" w:lineRule="auto"/>
        <w:ind w:left="0" w:right="0" w:firstLine="420"/>
        <w:jc w:val="both"/>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集聚创新人才。深入推进人才强市战略，实施“乡贤回归”工程，引导乡贤回乡开展合作、投资创业、引才荐才；继续落实促进高校毕业生就业创业十条措施，做好大学生、高技能人才的“引育留用”；全面深化与四川大学、中科院成都分院、四川省酿酒研究所、省科协协同创新促进会等高校、科研院所、科技团体的战略合作，打造人才集聚“洼地”。</w:t>
      </w:r>
    </w:p>
    <w:p w14:paraId="653A2C63">
      <w:pPr>
        <w:pStyle w:val="5"/>
        <w:pageBreakBefore w:val="0"/>
        <w:numPr>
          <w:ilvl w:val="2"/>
          <w:numId w:val="0"/>
        </w:numPr>
        <w:tabs>
          <w:tab w:val="left" w:pos="360"/>
          <w:tab w:val="clear" w:pos="-258"/>
          <w:tab w:val="clear" w:pos="0"/>
        </w:tabs>
        <w:kinsoku/>
        <w:wordWrap/>
        <w:overflowPunct/>
        <w:topLinePunct w:val="0"/>
        <w:autoSpaceDE/>
        <w:autoSpaceDN/>
        <w:bidi w:val="0"/>
        <w:spacing w:line="360" w:lineRule="auto"/>
        <w:ind w:firstLine="643" w:firstLineChars="200"/>
        <w:jc w:val="both"/>
        <w:rPr>
          <w:rFonts w:hint="eastAsia" w:ascii="仿宋" w:hAnsi="仿宋" w:eastAsia="仿宋" w:cs="仿宋"/>
        </w:rPr>
      </w:pPr>
      <w:bookmarkStart w:id="4" w:name="_Toc23891"/>
      <w:r>
        <w:rPr>
          <w:rFonts w:hint="eastAsia" w:ascii="仿宋" w:hAnsi="仿宋" w:eastAsia="仿宋" w:cs="仿宋"/>
        </w:rPr>
        <w:t>《中共绵竹市委关于贯彻落实德阳市委八届十二次全会精神加快融入成德同城化推动绵竹高质量发展的实施意见》</w:t>
      </w:r>
      <w:bookmarkEnd w:id="4"/>
    </w:p>
    <w:p w14:paraId="12670E15">
      <w:pPr>
        <w:keepNext w:val="0"/>
        <w:keepLines w:val="0"/>
        <w:pageBreakBefore w:val="0"/>
        <w:widowControl w:val="0"/>
        <w:kinsoku/>
        <w:wordWrap/>
        <w:overflowPunct/>
        <w:topLinePunct w:val="0"/>
        <w:autoSpaceDE/>
        <w:autoSpaceDN/>
        <w:bidi w:val="0"/>
        <w:adjustRightInd/>
        <w:snapToGrid/>
        <w:spacing w:line="360" w:lineRule="auto"/>
        <w:ind w:firstLine="640" w:firstLineChars="200"/>
        <w:jc w:val="both"/>
        <w:textAlignment w:val="auto"/>
        <w:rPr>
          <w:rFonts w:hint="eastAsia" w:ascii="仿宋" w:hAnsi="仿宋" w:eastAsia="仿宋" w:cs="仿宋"/>
          <w:kern w:val="2"/>
          <w:sz w:val="32"/>
          <w:szCs w:val="32"/>
          <w:lang w:val="en-US" w:eastAsia="zh-CN" w:bidi="ar-SA"/>
        </w:rPr>
      </w:pPr>
      <w:r>
        <w:rPr>
          <w:rFonts w:hint="eastAsia" w:ascii="仿宋" w:hAnsi="仿宋" w:eastAsia="仿宋" w:cs="仿宋"/>
          <w:kern w:val="2"/>
          <w:sz w:val="32"/>
          <w:szCs w:val="32"/>
          <w:lang w:val="en-US" w:eastAsia="zh-CN" w:bidi="ar-SA"/>
        </w:rPr>
        <w:t>推动现代农业高效发展。以打造现代农业园区为抓手，推动绵竹农业新发展。要做规划、建园区。围绕全省现代农业“10+3”产业体系，高标准编制绵竹现代农业产业规划。坚持集聚建园、融合强园、创新活园、绿色兴园，以六大优势产业为重点建设高质量现代农业园区。</w:t>
      </w:r>
      <w:r>
        <w:rPr>
          <w:rFonts w:hint="eastAsia" w:ascii="仿宋" w:hAnsi="仿宋" w:eastAsia="仿宋" w:cs="仿宋"/>
          <w:b/>
          <w:bCs/>
          <w:kern w:val="2"/>
          <w:sz w:val="32"/>
          <w:szCs w:val="32"/>
          <w:lang w:val="en-US" w:eastAsia="zh-CN" w:bidi="ar-SA"/>
        </w:rPr>
        <w:t>要优品种、育品牌。紧盯优质粮油、生猪、猕猴桃、玫瑰、早熟梨、茶叶等特色产业，引进优良品种</w:t>
      </w:r>
      <w:r>
        <w:rPr>
          <w:rFonts w:hint="eastAsia" w:ascii="仿宋" w:hAnsi="仿宋" w:eastAsia="仿宋" w:cs="仿宋"/>
          <w:kern w:val="2"/>
          <w:sz w:val="32"/>
          <w:szCs w:val="32"/>
          <w:lang w:val="en-US" w:eastAsia="zh-CN" w:bidi="ar-SA"/>
        </w:rPr>
        <w:t>。依托德阳国家农业科技园区技术设施优势，创建优质品牌。要出政策、引大户。制订出台农业规模化发展扶持政策，重点扶持“2+4+N”产业发展，支持农业企业做强做优。着力吸引和培育一批自主创新优、加工水平高、带动能力强的龙头企业，形成规模化、延伸产业链、增加附加值。要重整合、强基础。落实扩权强县改革运行机制，完善涉农资金整合激励机制，最大化发挥支农政策和资金综合效益。要加强农业基础设施建设，推动农田水利、田间道路、智慧农业等设施改造提升，夯实打牢现代农业发展基础。</w:t>
      </w:r>
    </w:p>
    <w:p w14:paraId="3C4D1937">
      <w:pPr>
        <w:keepNext w:val="0"/>
        <w:keepLines w:val="0"/>
        <w:pageBreakBefore w:val="0"/>
        <w:numPr>
          <w:ilvl w:val="0"/>
          <w:numId w:val="0"/>
        </w:numPr>
        <w:tabs>
          <w:tab w:val="left" w:pos="360"/>
        </w:tabs>
        <w:kinsoku/>
        <w:wordWrap/>
        <w:overflowPunct/>
        <w:topLinePunct w:val="0"/>
        <w:autoSpaceDE/>
        <w:autoSpaceDN/>
        <w:bidi w:val="0"/>
        <w:spacing w:line="360" w:lineRule="auto"/>
        <w:ind w:firstLine="602" w:firstLineChars="200"/>
        <w:outlineLvl w:val="1"/>
        <w:rPr>
          <w:rFonts w:hint="eastAsia" w:ascii="仿宋" w:hAnsi="仿宋" w:eastAsia="仿宋" w:cs="仿宋"/>
          <w:b/>
          <w:bCs/>
          <w:sz w:val="30"/>
          <w:szCs w:val="30"/>
          <w:lang w:val="en-US" w:eastAsia="zh-CN"/>
        </w:rPr>
      </w:pPr>
      <w:r>
        <w:rPr>
          <w:rFonts w:hint="eastAsia" w:ascii="仿宋" w:hAnsi="仿宋" w:eastAsia="仿宋" w:cs="仿宋"/>
          <w:b/>
          <w:bCs/>
          <w:sz w:val="30"/>
          <w:szCs w:val="30"/>
          <w:lang w:val="en-US" w:eastAsia="zh-CN"/>
        </w:rPr>
        <w:t>2.城市总体规划</w:t>
      </w:r>
    </w:p>
    <w:p w14:paraId="7B0AABEE">
      <w:pPr>
        <w:keepNext w:val="0"/>
        <w:keepLines w:val="0"/>
        <w:pageBreakBefore w:val="0"/>
        <w:kinsoku/>
        <w:wordWrap/>
        <w:overflowPunct/>
        <w:topLinePunct w:val="0"/>
        <w:autoSpaceDE/>
        <w:autoSpaceDN/>
        <w:bidi w:val="0"/>
        <w:snapToGrid w:val="0"/>
        <w:spacing w:line="360" w:lineRule="auto"/>
        <w:ind w:firstLine="602" w:firstLineChars="200"/>
        <w:jc w:val="both"/>
        <w:rPr>
          <w:rFonts w:hint="eastAsia" w:ascii="仿宋" w:hAnsi="仿宋" w:eastAsia="仿宋" w:cs="仿宋"/>
          <w:b/>
          <w:bCs/>
          <w:sz w:val="30"/>
          <w:szCs w:val="30"/>
          <w:lang w:val="en-US" w:eastAsia="zh-CN"/>
        </w:rPr>
      </w:pPr>
      <w:r>
        <w:rPr>
          <w:rFonts w:hint="eastAsia" w:ascii="仿宋" w:hAnsi="仿宋" w:eastAsia="仿宋" w:cs="仿宋"/>
          <w:b/>
          <w:bCs/>
          <w:sz w:val="30"/>
          <w:szCs w:val="30"/>
          <w:lang w:val="en-US" w:eastAsia="zh-CN"/>
        </w:rPr>
        <w:t>德阳市城市整体规划</w:t>
      </w:r>
    </w:p>
    <w:p w14:paraId="75305EE2">
      <w:pPr>
        <w:pStyle w:val="2"/>
        <w:pageBreakBefore w:val="0"/>
        <w:widowControl w:val="0"/>
        <w:kinsoku/>
        <w:wordWrap/>
        <w:overflowPunct/>
        <w:topLinePunct w:val="0"/>
        <w:autoSpaceDE/>
        <w:autoSpaceDN/>
        <w:bidi w:val="0"/>
        <w:spacing w:before="0" w:after="120" w:line="360" w:lineRule="auto"/>
        <w:ind w:firstLine="640" w:firstLineChars="200"/>
        <w:jc w:val="both"/>
        <w:rPr>
          <w:rFonts w:hint="eastAsia" w:ascii="仿宋" w:hAnsi="仿宋" w:eastAsia="仿宋" w:cs="仿宋"/>
          <w:sz w:val="32"/>
          <w:szCs w:val="32"/>
          <w:lang w:val="en-US"/>
        </w:rPr>
      </w:pPr>
      <w:r>
        <w:rPr>
          <w:rFonts w:hint="eastAsia" w:ascii="仿宋" w:hAnsi="仿宋" w:eastAsia="仿宋" w:cs="仿宋"/>
          <w:sz w:val="32"/>
          <w:szCs w:val="32"/>
          <w:lang w:val="en-US"/>
        </w:rPr>
        <w:t xml:space="preserve">（1）规划范围和层次 </w:t>
      </w:r>
    </w:p>
    <w:p w14:paraId="3136538B">
      <w:pPr>
        <w:pStyle w:val="2"/>
        <w:pageBreakBefore w:val="0"/>
        <w:widowControl w:val="0"/>
        <w:kinsoku/>
        <w:wordWrap/>
        <w:overflowPunct/>
        <w:topLinePunct w:val="0"/>
        <w:autoSpaceDE/>
        <w:autoSpaceDN/>
        <w:bidi w:val="0"/>
        <w:spacing w:before="0" w:after="120" w:line="360" w:lineRule="auto"/>
        <w:ind w:firstLine="640" w:firstLineChars="200"/>
        <w:jc w:val="both"/>
        <w:rPr>
          <w:rFonts w:hint="eastAsia" w:ascii="仿宋" w:hAnsi="仿宋" w:eastAsia="仿宋" w:cs="仿宋"/>
          <w:sz w:val="32"/>
          <w:szCs w:val="32"/>
          <w:lang w:val="en-US"/>
        </w:rPr>
      </w:pPr>
      <w:r>
        <w:rPr>
          <w:rFonts w:hint="eastAsia" w:ascii="仿宋" w:hAnsi="仿宋" w:eastAsia="仿宋" w:cs="仿宋"/>
          <w:sz w:val="32"/>
          <w:szCs w:val="32"/>
          <w:lang w:val="en-US"/>
        </w:rPr>
        <w:t xml:space="preserve">规划范围分为市域和中心城区两个层次。 </w:t>
      </w:r>
    </w:p>
    <w:p w14:paraId="36B4A84D">
      <w:pPr>
        <w:pStyle w:val="2"/>
        <w:pageBreakBefore w:val="0"/>
        <w:widowControl w:val="0"/>
        <w:kinsoku/>
        <w:wordWrap/>
        <w:overflowPunct/>
        <w:topLinePunct w:val="0"/>
        <w:autoSpaceDE/>
        <w:autoSpaceDN/>
        <w:bidi w:val="0"/>
        <w:spacing w:before="0" w:after="120" w:line="360" w:lineRule="auto"/>
        <w:ind w:firstLine="640" w:firstLineChars="200"/>
        <w:jc w:val="both"/>
        <w:rPr>
          <w:rFonts w:hint="eastAsia" w:ascii="仿宋" w:hAnsi="仿宋" w:eastAsia="仿宋" w:cs="仿宋"/>
          <w:sz w:val="32"/>
          <w:szCs w:val="32"/>
          <w:lang w:val="en-US"/>
        </w:rPr>
      </w:pPr>
      <w:r>
        <w:rPr>
          <w:rFonts w:hint="eastAsia" w:ascii="仿宋" w:hAnsi="仿宋" w:eastAsia="仿宋" w:cs="仿宋"/>
          <w:sz w:val="32"/>
          <w:szCs w:val="32"/>
          <w:lang w:val="en-US"/>
        </w:rPr>
        <w:t xml:space="preserve">市域面积约5911平方公里，为德阳市行政辖区范围。 </w:t>
      </w:r>
    </w:p>
    <w:p w14:paraId="50FF41B9">
      <w:pPr>
        <w:pStyle w:val="2"/>
        <w:pageBreakBefore w:val="0"/>
        <w:widowControl w:val="0"/>
        <w:kinsoku/>
        <w:wordWrap/>
        <w:overflowPunct/>
        <w:topLinePunct w:val="0"/>
        <w:autoSpaceDE/>
        <w:autoSpaceDN/>
        <w:bidi w:val="0"/>
        <w:spacing w:before="0" w:after="120" w:line="360" w:lineRule="auto"/>
        <w:ind w:firstLine="640" w:firstLineChars="200"/>
        <w:jc w:val="both"/>
        <w:rPr>
          <w:rFonts w:hint="eastAsia" w:ascii="仿宋" w:hAnsi="仿宋" w:eastAsia="仿宋" w:cs="仿宋"/>
          <w:sz w:val="32"/>
          <w:szCs w:val="32"/>
          <w:lang w:val="en-US"/>
        </w:rPr>
      </w:pPr>
      <w:r>
        <w:rPr>
          <w:rFonts w:hint="eastAsia" w:ascii="仿宋" w:hAnsi="仿宋" w:eastAsia="仿宋" w:cs="仿宋"/>
          <w:sz w:val="32"/>
          <w:szCs w:val="32"/>
          <w:lang w:val="en-US"/>
        </w:rPr>
        <w:t xml:space="preserve">中心城区规划范围约362平方公里，西至成德大道，北至成都经济圈环线高速公路，东至旌阳区行政边界及成都经济圈环线高速公路，南至规划洛小路、旌阳区与广汉市行政边界，包括旌阳区各街道办事处、和新镇、东湖乡的全部区域，黄许镇、德新镇、孝感镇、杨嘉镇、天元镇、新中镇、双东镇的部分区域。 </w:t>
      </w:r>
    </w:p>
    <w:p w14:paraId="3E481F82">
      <w:pPr>
        <w:pStyle w:val="2"/>
        <w:pageBreakBefore w:val="0"/>
        <w:widowControl w:val="0"/>
        <w:kinsoku/>
        <w:wordWrap/>
        <w:overflowPunct/>
        <w:topLinePunct w:val="0"/>
        <w:autoSpaceDE/>
        <w:autoSpaceDN/>
        <w:bidi w:val="0"/>
        <w:spacing w:before="0" w:after="120" w:line="360" w:lineRule="auto"/>
        <w:ind w:firstLine="640" w:firstLineChars="200"/>
        <w:jc w:val="both"/>
        <w:rPr>
          <w:rFonts w:hint="eastAsia" w:ascii="仿宋" w:hAnsi="仿宋" w:eastAsia="仿宋" w:cs="仿宋"/>
          <w:sz w:val="32"/>
          <w:szCs w:val="32"/>
          <w:lang w:val="en-US"/>
        </w:rPr>
      </w:pPr>
      <w:r>
        <w:rPr>
          <w:rFonts w:hint="eastAsia" w:ascii="仿宋" w:hAnsi="仿宋" w:eastAsia="仿宋" w:cs="仿宋"/>
          <w:sz w:val="32"/>
          <w:szCs w:val="32"/>
          <w:lang w:val="en-US"/>
        </w:rPr>
        <w:t xml:space="preserve">（2）发展目标与战略 </w:t>
      </w:r>
    </w:p>
    <w:p w14:paraId="55B6AF7F">
      <w:pPr>
        <w:pStyle w:val="2"/>
        <w:pageBreakBefore w:val="0"/>
        <w:widowControl w:val="0"/>
        <w:kinsoku/>
        <w:wordWrap/>
        <w:overflowPunct/>
        <w:topLinePunct w:val="0"/>
        <w:autoSpaceDE/>
        <w:autoSpaceDN/>
        <w:bidi w:val="0"/>
        <w:spacing w:before="0" w:after="120" w:line="360" w:lineRule="auto"/>
        <w:ind w:firstLine="640" w:firstLineChars="200"/>
        <w:jc w:val="both"/>
        <w:rPr>
          <w:rFonts w:hint="eastAsia" w:ascii="仿宋" w:hAnsi="仿宋" w:eastAsia="仿宋" w:cs="仿宋"/>
          <w:sz w:val="32"/>
          <w:szCs w:val="32"/>
          <w:lang w:val="en-US"/>
        </w:rPr>
      </w:pPr>
      <w:r>
        <w:rPr>
          <w:rFonts w:hint="eastAsia" w:ascii="仿宋" w:hAnsi="仿宋" w:eastAsia="仿宋" w:cs="仿宋"/>
          <w:sz w:val="32"/>
          <w:szCs w:val="32"/>
          <w:lang w:val="en-US"/>
        </w:rPr>
        <w:t xml:space="preserve">①城市性质 </w:t>
      </w:r>
    </w:p>
    <w:p w14:paraId="05B7D552">
      <w:pPr>
        <w:pStyle w:val="2"/>
        <w:pageBreakBefore w:val="0"/>
        <w:widowControl w:val="0"/>
        <w:kinsoku/>
        <w:wordWrap/>
        <w:overflowPunct/>
        <w:topLinePunct w:val="0"/>
        <w:autoSpaceDE/>
        <w:autoSpaceDN/>
        <w:bidi w:val="0"/>
        <w:spacing w:before="0" w:after="120" w:line="360" w:lineRule="auto"/>
        <w:ind w:firstLine="640" w:firstLineChars="200"/>
        <w:jc w:val="both"/>
        <w:rPr>
          <w:rFonts w:hint="eastAsia" w:ascii="仿宋" w:hAnsi="仿宋" w:eastAsia="仿宋" w:cs="仿宋"/>
          <w:sz w:val="32"/>
          <w:szCs w:val="32"/>
          <w:lang w:val="en-US"/>
        </w:rPr>
      </w:pPr>
      <w:r>
        <w:rPr>
          <w:rFonts w:hint="eastAsia" w:ascii="仿宋" w:hAnsi="仿宋" w:eastAsia="仿宋" w:cs="仿宋"/>
          <w:sz w:val="32"/>
          <w:szCs w:val="32"/>
          <w:lang w:val="en-US"/>
        </w:rPr>
        <w:t xml:space="preserve">国家高端装备产业创新发展示范基地，成都平原城市群副中心城市，以古蜀文化和工业遗产为特色的文化名城，生态田园典范城市。 </w:t>
      </w:r>
    </w:p>
    <w:p w14:paraId="289B46A1">
      <w:pPr>
        <w:pStyle w:val="2"/>
        <w:pageBreakBefore w:val="0"/>
        <w:widowControl w:val="0"/>
        <w:kinsoku/>
        <w:wordWrap/>
        <w:overflowPunct/>
        <w:topLinePunct w:val="0"/>
        <w:autoSpaceDE/>
        <w:autoSpaceDN/>
        <w:bidi w:val="0"/>
        <w:spacing w:before="0" w:after="120" w:line="360" w:lineRule="auto"/>
        <w:ind w:firstLine="640" w:firstLineChars="200"/>
        <w:jc w:val="both"/>
        <w:rPr>
          <w:rFonts w:hint="eastAsia" w:ascii="仿宋" w:hAnsi="仿宋" w:eastAsia="仿宋" w:cs="仿宋"/>
          <w:sz w:val="32"/>
          <w:szCs w:val="32"/>
          <w:lang w:val="en-US"/>
        </w:rPr>
      </w:pPr>
      <w:r>
        <w:rPr>
          <w:rFonts w:hint="eastAsia" w:ascii="仿宋" w:hAnsi="仿宋" w:eastAsia="仿宋" w:cs="仿宋"/>
          <w:sz w:val="32"/>
          <w:szCs w:val="32"/>
          <w:lang w:val="en-US"/>
        </w:rPr>
        <w:t>②城市职能</w:t>
      </w:r>
    </w:p>
    <w:p w14:paraId="6D5EA7B2">
      <w:pPr>
        <w:pStyle w:val="2"/>
        <w:pageBreakBefore w:val="0"/>
        <w:widowControl w:val="0"/>
        <w:kinsoku/>
        <w:wordWrap/>
        <w:overflowPunct/>
        <w:topLinePunct w:val="0"/>
        <w:autoSpaceDE/>
        <w:autoSpaceDN/>
        <w:bidi w:val="0"/>
        <w:spacing w:before="0" w:after="120" w:line="360" w:lineRule="auto"/>
        <w:ind w:firstLine="640" w:firstLineChars="200"/>
        <w:jc w:val="both"/>
        <w:rPr>
          <w:rFonts w:hint="eastAsia" w:ascii="仿宋" w:hAnsi="仿宋" w:eastAsia="仿宋" w:cs="仿宋"/>
          <w:sz w:val="32"/>
          <w:szCs w:val="32"/>
          <w:lang w:val="en-US"/>
        </w:rPr>
      </w:pPr>
      <w:r>
        <w:rPr>
          <w:rFonts w:hint="eastAsia" w:ascii="仿宋" w:hAnsi="仿宋" w:eastAsia="仿宋" w:cs="仿宋"/>
          <w:sz w:val="32"/>
          <w:szCs w:val="32"/>
          <w:lang w:val="en-US"/>
        </w:rPr>
        <w:t xml:space="preserve">具有世界影响力的高端装备和智能制造产业基地；国家重要的高新技术产业基地与研发中心；国家重要的职业教育基地；成渝城市群重要的生产服务中心；中国非物质文化遗产传承中心；四川省重要的国际旅游目的地。 </w:t>
      </w:r>
    </w:p>
    <w:p w14:paraId="37BFE7CD">
      <w:pPr>
        <w:pStyle w:val="2"/>
        <w:pageBreakBefore w:val="0"/>
        <w:widowControl w:val="0"/>
        <w:kinsoku/>
        <w:wordWrap/>
        <w:overflowPunct/>
        <w:topLinePunct w:val="0"/>
        <w:autoSpaceDE/>
        <w:autoSpaceDN/>
        <w:bidi w:val="0"/>
        <w:spacing w:before="0" w:after="120" w:line="360" w:lineRule="auto"/>
        <w:ind w:firstLine="640" w:firstLineChars="200"/>
        <w:jc w:val="both"/>
        <w:rPr>
          <w:rFonts w:hint="eastAsia" w:ascii="仿宋" w:hAnsi="仿宋" w:eastAsia="仿宋" w:cs="仿宋"/>
          <w:sz w:val="32"/>
          <w:szCs w:val="32"/>
          <w:lang w:val="en-US"/>
        </w:rPr>
      </w:pPr>
      <w:r>
        <w:rPr>
          <w:rFonts w:hint="eastAsia" w:ascii="仿宋" w:hAnsi="仿宋" w:eastAsia="仿宋" w:cs="仿宋"/>
          <w:sz w:val="32"/>
          <w:szCs w:val="32"/>
          <w:lang w:val="en-US"/>
        </w:rPr>
        <w:t xml:space="preserve">③总体发展目标 </w:t>
      </w:r>
    </w:p>
    <w:p w14:paraId="0A2E9C68">
      <w:pPr>
        <w:pStyle w:val="2"/>
        <w:pageBreakBefore w:val="0"/>
        <w:widowControl w:val="0"/>
        <w:kinsoku/>
        <w:wordWrap/>
        <w:overflowPunct/>
        <w:topLinePunct w:val="0"/>
        <w:autoSpaceDE/>
        <w:autoSpaceDN/>
        <w:bidi w:val="0"/>
        <w:spacing w:before="0" w:after="120" w:line="360" w:lineRule="auto"/>
        <w:ind w:firstLine="640" w:firstLineChars="200"/>
        <w:jc w:val="both"/>
        <w:rPr>
          <w:rFonts w:hint="eastAsia" w:ascii="仿宋" w:hAnsi="仿宋" w:eastAsia="仿宋" w:cs="仿宋"/>
          <w:sz w:val="32"/>
          <w:szCs w:val="32"/>
          <w:lang w:val="en-US"/>
        </w:rPr>
      </w:pPr>
      <w:r>
        <w:rPr>
          <w:rFonts w:hint="eastAsia" w:ascii="仿宋" w:hAnsi="仿宋" w:eastAsia="仿宋" w:cs="仿宋"/>
          <w:sz w:val="32"/>
          <w:szCs w:val="32"/>
          <w:lang w:val="en-US"/>
        </w:rPr>
        <w:t xml:space="preserve">将德阳建设成为高端产业为支撑，高素质人才就业为主体，高品质宜居、宜业、宜商的成都国际化大都市北部新城。至2020年，市域总人口为420-440万人，人口城镇化水平达到55%；至2030年，市域总人口为460-480万人，人口城镇化水平达到66%。至2020年，市域GDP达到2500亿元、人均GDP达到58000元；至2030年，市域GDP达到4900亿元、人均GDP达到104000元。 </w:t>
      </w:r>
    </w:p>
    <w:p w14:paraId="3EECB3CF">
      <w:pPr>
        <w:pStyle w:val="2"/>
        <w:pageBreakBefore w:val="0"/>
        <w:widowControl w:val="0"/>
        <w:kinsoku/>
        <w:wordWrap/>
        <w:overflowPunct/>
        <w:topLinePunct w:val="0"/>
        <w:autoSpaceDE/>
        <w:autoSpaceDN/>
        <w:bidi w:val="0"/>
        <w:spacing w:before="0" w:after="120" w:line="360" w:lineRule="auto"/>
        <w:ind w:firstLine="640" w:firstLineChars="200"/>
        <w:jc w:val="both"/>
        <w:rPr>
          <w:rFonts w:hint="eastAsia" w:ascii="仿宋" w:hAnsi="仿宋" w:eastAsia="仿宋" w:cs="仿宋"/>
          <w:sz w:val="32"/>
          <w:szCs w:val="32"/>
          <w:lang w:val="en-US"/>
        </w:rPr>
      </w:pPr>
      <w:r>
        <w:rPr>
          <w:rFonts w:hint="eastAsia" w:ascii="仿宋" w:hAnsi="仿宋" w:eastAsia="仿宋" w:cs="仿宋"/>
          <w:sz w:val="32"/>
          <w:szCs w:val="32"/>
          <w:lang w:val="en-US"/>
        </w:rPr>
        <w:t xml:space="preserve">④城市规模 </w:t>
      </w:r>
    </w:p>
    <w:p w14:paraId="2C3C27CD">
      <w:pPr>
        <w:pStyle w:val="2"/>
        <w:pageBreakBefore w:val="0"/>
        <w:widowControl w:val="0"/>
        <w:kinsoku/>
        <w:wordWrap/>
        <w:overflowPunct/>
        <w:topLinePunct w:val="0"/>
        <w:autoSpaceDE/>
        <w:autoSpaceDN/>
        <w:bidi w:val="0"/>
        <w:spacing w:before="0" w:after="120" w:line="360" w:lineRule="auto"/>
        <w:ind w:firstLine="640" w:firstLineChars="200"/>
        <w:jc w:val="both"/>
        <w:rPr>
          <w:rFonts w:hint="eastAsia" w:ascii="仿宋" w:hAnsi="仿宋" w:eastAsia="仿宋" w:cs="仿宋"/>
          <w:sz w:val="32"/>
          <w:szCs w:val="32"/>
          <w:lang w:val="en-US"/>
        </w:rPr>
      </w:pPr>
      <w:r>
        <w:rPr>
          <w:rFonts w:hint="eastAsia" w:ascii="仿宋" w:hAnsi="仿宋" w:eastAsia="仿宋" w:cs="仿宋"/>
          <w:sz w:val="32"/>
          <w:szCs w:val="32"/>
          <w:lang w:val="en-US"/>
        </w:rPr>
        <w:t>至2030年，中心城区城市人口规模120万人，城市建设用地面积120平方公里。</w:t>
      </w:r>
    </w:p>
    <w:p w14:paraId="2F6257E4">
      <w:pPr>
        <w:pageBreakBefore w:val="0"/>
        <w:kinsoku/>
        <w:wordWrap/>
        <w:overflowPunct/>
        <w:topLinePunct w:val="0"/>
        <w:autoSpaceDE/>
        <w:autoSpaceDN/>
        <w:bidi w:val="0"/>
        <w:snapToGrid w:val="0"/>
        <w:spacing w:line="360" w:lineRule="auto"/>
        <w:ind w:left="210" w:leftChars="100" w:right="210" w:rightChars="100" w:firstLine="640" w:firstLineChars="200"/>
        <w:jc w:val="center"/>
        <w:rPr>
          <w:rFonts w:hint="eastAsia" w:ascii="仿宋" w:hAnsi="仿宋" w:eastAsia="仿宋" w:cs="仿宋"/>
          <w:sz w:val="32"/>
          <w:szCs w:val="32"/>
        </w:rPr>
      </w:pPr>
      <w:r>
        <w:rPr>
          <w:rFonts w:hint="eastAsia" w:ascii="仿宋" w:hAnsi="仿宋" w:eastAsia="仿宋" w:cs="仿宋"/>
          <w:sz w:val="32"/>
          <w:szCs w:val="32"/>
        </w:rPr>
        <w:drawing>
          <wp:inline distT="0" distB="0" distL="114300" distR="114300">
            <wp:extent cx="4137660" cy="3795395"/>
            <wp:effectExtent l="0" t="0" r="7620" b="1460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4"/>
                    <a:stretch>
                      <a:fillRect/>
                    </a:stretch>
                  </pic:blipFill>
                  <pic:spPr>
                    <a:xfrm>
                      <a:off x="0" y="0"/>
                      <a:ext cx="4137660" cy="3795395"/>
                    </a:xfrm>
                    <a:prstGeom prst="rect">
                      <a:avLst/>
                    </a:prstGeom>
                    <a:noFill/>
                    <a:ln>
                      <a:noFill/>
                    </a:ln>
                  </pic:spPr>
                </pic:pic>
              </a:graphicData>
            </a:graphic>
          </wp:inline>
        </w:drawing>
      </w:r>
    </w:p>
    <w:p w14:paraId="42DD9237">
      <w:pPr>
        <w:pStyle w:val="2"/>
        <w:pageBreakBefore w:val="0"/>
        <w:widowControl w:val="0"/>
        <w:kinsoku/>
        <w:wordWrap/>
        <w:overflowPunct/>
        <w:topLinePunct w:val="0"/>
        <w:autoSpaceDE/>
        <w:autoSpaceDN/>
        <w:bidi w:val="0"/>
        <w:spacing w:before="0" w:after="120" w:line="360" w:lineRule="auto"/>
        <w:ind w:firstLine="482" w:firstLineChars="200"/>
        <w:jc w:val="center"/>
        <w:outlineLvl w:val="4"/>
        <w:rPr>
          <w:rFonts w:hint="eastAsia" w:ascii="仿宋" w:hAnsi="仿宋" w:eastAsia="仿宋" w:cs="仿宋"/>
          <w:b/>
          <w:bCs/>
          <w:sz w:val="24"/>
          <w:szCs w:val="24"/>
          <w:lang w:val="en-US" w:eastAsia="zh-CN"/>
        </w:rPr>
      </w:pPr>
      <w:r>
        <w:rPr>
          <w:rFonts w:hint="eastAsia" w:ascii="仿宋" w:hAnsi="仿宋" w:eastAsia="仿宋" w:cs="仿宋"/>
          <w:b/>
          <w:bCs/>
          <w:sz w:val="24"/>
          <w:szCs w:val="24"/>
          <w:lang w:val="en-US" w:eastAsia="zh-CN"/>
        </w:rPr>
        <w:t>图1-1 德阳市城市总体规划图</w:t>
      </w:r>
    </w:p>
    <w:p w14:paraId="40FDAD66">
      <w:pPr>
        <w:keepNext w:val="0"/>
        <w:keepLines w:val="0"/>
        <w:pageBreakBefore w:val="0"/>
        <w:kinsoku/>
        <w:wordWrap/>
        <w:overflowPunct/>
        <w:topLinePunct w:val="0"/>
        <w:autoSpaceDE/>
        <w:autoSpaceDN/>
        <w:bidi w:val="0"/>
        <w:spacing w:line="360" w:lineRule="auto"/>
        <w:ind w:firstLine="522" w:firstLineChars="200"/>
        <w:textAlignment w:val="auto"/>
        <w:outlineLvl w:val="9"/>
        <w:rPr>
          <w:rFonts w:hint="eastAsia" w:ascii="仿宋" w:hAnsi="仿宋" w:eastAsia="仿宋" w:cs="仿宋"/>
          <w:b/>
          <w:color w:val="000000" w:themeColor="text1"/>
          <w:spacing w:val="-20"/>
          <w:sz w:val="30"/>
          <w:szCs w:val="30"/>
          <w:lang w:val="en-US" w:eastAsia="zh-CN"/>
          <w14:textFill>
            <w14:solidFill>
              <w14:schemeClr w14:val="tx1"/>
            </w14:solidFill>
          </w14:textFill>
        </w:rPr>
      </w:pPr>
      <w:r>
        <w:rPr>
          <w:rFonts w:hint="eastAsia" w:ascii="仿宋" w:hAnsi="仿宋" w:eastAsia="仿宋" w:cs="仿宋"/>
          <w:b/>
          <w:color w:val="000000" w:themeColor="text1"/>
          <w:spacing w:val="-20"/>
          <w:sz w:val="30"/>
          <w:szCs w:val="30"/>
          <w:lang w:val="en-US" w:eastAsia="zh-CN"/>
          <w14:textFill>
            <w14:solidFill>
              <w14:schemeClr w14:val="tx1"/>
            </w14:solidFill>
          </w14:textFill>
        </w:rPr>
        <w:t>绵竹市城市规划</w:t>
      </w:r>
    </w:p>
    <w:p w14:paraId="7CC63630">
      <w:pPr>
        <w:pageBreakBefore w:val="0"/>
        <w:widowControl/>
        <w:kinsoku/>
        <w:wordWrap/>
        <w:overflowPunct/>
        <w:topLinePunct w:val="0"/>
        <w:autoSpaceDE/>
        <w:autoSpaceDN/>
        <w:bidi w:val="0"/>
        <w:spacing w:line="360" w:lineRule="auto"/>
        <w:ind w:firstLine="480" w:firstLineChars="150"/>
        <w:jc w:val="both"/>
        <w:rPr>
          <w:rFonts w:hint="eastAsia" w:ascii="仿宋" w:hAnsi="仿宋" w:eastAsia="仿宋" w:cs="仿宋"/>
          <w:color w:val="000000"/>
          <w:kern w:val="0"/>
          <w:sz w:val="32"/>
          <w:szCs w:val="32"/>
          <w:lang w:bidi="ar"/>
        </w:rPr>
      </w:pPr>
      <w:r>
        <w:rPr>
          <w:rFonts w:hint="eastAsia" w:ascii="仿宋" w:hAnsi="仿宋" w:eastAsia="仿宋" w:cs="仿宋"/>
          <w:color w:val="000000"/>
          <w:kern w:val="0"/>
          <w:sz w:val="32"/>
          <w:szCs w:val="32"/>
          <w:lang w:bidi="ar"/>
        </w:rPr>
        <w:t>“规划”提出：坚持“工业强市”的思路，以发展企业集群为重 点，提高经济效益为中心，以科技创新、科技和资本投入为手段，实 现新型工业化为目标，努力提高全市的工业整体水平，大力进行招商 引资，引进和建设一批有较大扩张潜能和较大规模的企业，用高新技 术和先进适用技术发展传统产业，调整所有制结构、产业结构和产品 结构，形成食品饮料、机械、磷化工三大支柱产业。培育发展科技含 量高、节能环保和资源节约型产业，加大矿业整治力度，合理、限量、 有序开采和利用矿产资源，限制和淘汰技术含量低、资源消耗高、污 染严重的产业。</w:t>
      </w:r>
    </w:p>
    <w:p w14:paraId="15421F87">
      <w:pPr>
        <w:pageBreakBefore w:val="0"/>
        <w:widowControl/>
        <w:kinsoku/>
        <w:wordWrap/>
        <w:overflowPunct/>
        <w:topLinePunct w:val="0"/>
        <w:autoSpaceDE/>
        <w:autoSpaceDN/>
        <w:bidi w:val="0"/>
        <w:spacing w:line="360" w:lineRule="auto"/>
        <w:ind w:firstLine="482" w:firstLineChars="150"/>
        <w:jc w:val="both"/>
        <w:rPr>
          <w:rFonts w:hint="eastAsia" w:ascii="仿宋" w:hAnsi="仿宋" w:eastAsia="仿宋" w:cs="仿宋"/>
          <w:color w:val="000000"/>
          <w:kern w:val="0"/>
          <w:sz w:val="32"/>
          <w:szCs w:val="32"/>
          <w:lang w:bidi="ar"/>
        </w:rPr>
      </w:pPr>
      <w:r>
        <w:rPr>
          <w:rFonts w:hint="eastAsia" w:ascii="仿宋" w:hAnsi="仿宋" w:eastAsia="仿宋" w:cs="仿宋"/>
          <w:b/>
          <w:bCs/>
          <w:color w:val="000000"/>
          <w:kern w:val="0"/>
          <w:sz w:val="32"/>
          <w:szCs w:val="32"/>
          <w:lang w:bidi="ar"/>
        </w:rPr>
        <w:t>——支柱产业</w:t>
      </w:r>
      <w:r>
        <w:rPr>
          <w:rFonts w:hint="eastAsia" w:ascii="仿宋" w:hAnsi="仿宋" w:eastAsia="仿宋" w:cs="仿宋"/>
          <w:color w:val="000000"/>
          <w:kern w:val="0"/>
          <w:sz w:val="32"/>
          <w:szCs w:val="32"/>
          <w:lang w:bidi="ar"/>
        </w:rPr>
        <w:t>：做强做大食品和饮料产业；提升整合磷化工产业； 配套和完善机械制造加工业，提高核心竞争力。</w:t>
      </w:r>
    </w:p>
    <w:p w14:paraId="022B68C7">
      <w:pPr>
        <w:pageBreakBefore w:val="0"/>
        <w:widowControl/>
        <w:kinsoku/>
        <w:wordWrap/>
        <w:overflowPunct/>
        <w:topLinePunct w:val="0"/>
        <w:autoSpaceDE/>
        <w:autoSpaceDN/>
        <w:bidi w:val="0"/>
        <w:spacing w:line="360" w:lineRule="auto"/>
        <w:ind w:firstLine="482" w:firstLineChars="150"/>
        <w:jc w:val="both"/>
        <w:rPr>
          <w:rFonts w:hint="eastAsia" w:ascii="仿宋" w:hAnsi="仿宋" w:eastAsia="仿宋" w:cs="仿宋"/>
          <w:color w:val="000000"/>
          <w:kern w:val="0"/>
          <w:sz w:val="32"/>
          <w:szCs w:val="32"/>
          <w:lang w:bidi="ar"/>
        </w:rPr>
      </w:pPr>
      <w:r>
        <w:rPr>
          <w:rFonts w:hint="eastAsia" w:ascii="仿宋" w:hAnsi="仿宋" w:eastAsia="仿宋" w:cs="仿宋"/>
          <w:b/>
          <w:bCs/>
          <w:color w:val="000000"/>
          <w:kern w:val="0"/>
          <w:sz w:val="32"/>
          <w:szCs w:val="32"/>
          <w:lang w:bidi="ar"/>
        </w:rPr>
        <w:t>——重要辅助产业：</w:t>
      </w:r>
      <w:r>
        <w:rPr>
          <w:rFonts w:hint="eastAsia" w:ascii="仿宋" w:hAnsi="仿宋" w:eastAsia="仿宋" w:cs="仿宋"/>
          <w:color w:val="000000"/>
          <w:kern w:val="0"/>
          <w:sz w:val="32"/>
          <w:szCs w:val="32"/>
          <w:lang w:bidi="ar"/>
        </w:rPr>
        <w:t>合理发展天然气化工；整合发展以水泥为代 表的建材产业。</w:t>
      </w:r>
    </w:p>
    <w:p w14:paraId="653FF411">
      <w:pPr>
        <w:pageBreakBefore w:val="0"/>
        <w:widowControl/>
        <w:kinsoku/>
        <w:wordWrap/>
        <w:overflowPunct/>
        <w:topLinePunct w:val="0"/>
        <w:autoSpaceDE/>
        <w:autoSpaceDN/>
        <w:bidi w:val="0"/>
        <w:spacing w:line="360" w:lineRule="auto"/>
        <w:ind w:firstLine="482" w:firstLineChars="150"/>
        <w:jc w:val="both"/>
        <w:rPr>
          <w:rFonts w:hint="eastAsia" w:ascii="仿宋" w:hAnsi="仿宋" w:eastAsia="仿宋" w:cs="仿宋"/>
          <w:color w:val="000000"/>
          <w:kern w:val="0"/>
          <w:sz w:val="32"/>
          <w:szCs w:val="32"/>
          <w:lang w:bidi="ar"/>
        </w:rPr>
      </w:pPr>
      <w:r>
        <w:rPr>
          <w:rFonts w:hint="eastAsia" w:ascii="仿宋" w:hAnsi="仿宋" w:eastAsia="仿宋" w:cs="仿宋"/>
          <w:b/>
          <w:bCs/>
          <w:color w:val="000000"/>
          <w:kern w:val="0"/>
          <w:sz w:val="32"/>
          <w:szCs w:val="32"/>
          <w:lang w:bidi="ar"/>
        </w:rPr>
        <w:t>——适度发展</w:t>
      </w:r>
      <w:r>
        <w:rPr>
          <w:rFonts w:hint="eastAsia" w:ascii="仿宋" w:hAnsi="仿宋" w:eastAsia="仿宋" w:cs="仿宋"/>
          <w:color w:val="000000"/>
          <w:kern w:val="0"/>
          <w:sz w:val="32"/>
          <w:szCs w:val="32"/>
          <w:lang w:bidi="ar"/>
        </w:rPr>
        <w:t>纺织服装、玻璃和医药等一般产业。</w:t>
      </w:r>
    </w:p>
    <w:p w14:paraId="7C495C75">
      <w:pPr>
        <w:pageBreakBefore w:val="0"/>
        <w:widowControl/>
        <w:kinsoku/>
        <w:wordWrap/>
        <w:overflowPunct/>
        <w:topLinePunct w:val="0"/>
        <w:autoSpaceDE/>
        <w:autoSpaceDN/>
        <w:bidi w:val="0"/>
        <w:spacing w:line="360" w:lineRule="auto"/>
        <w:ind w:firstLine="405" w:firstLineChars="150"/>
        <w:jc w:val="both"/>
        <w:rPr>
          <w:rFonts w:hint="eastAsia" w:ascii="仿宋" w:hAnsi="仿宋" w:eastAsia="仿宋" w:cs="仿宋"/>
          <w:color w:val="000000"/>
          <w:kern w:val="0"/>
          <w:sz w:val="27"/>
          <w:szCs w:val="27"/>
          <w:lang w:bidi="ar"/>
        </w:rPr>
      </w:pPr>
    </w:p>
    <w:p w14:paraId="45607FC5">
      <w:pPr>
        <w:pageBreakBefore w:val="0"/>
        <w:widowControl/>
        <w:kinsoku/>
        <w:wordWrap/>
        <w:overflowPunct/>
        <w:topLinePunct w:val="0"/>
        <w:autoSpaceDE/>
        <w:autoSpaceDN/>
        <w:bidi w:val="0"/>
        <w:spacing w:line="360" w:lineRule="auto"/>
        <w:ind w:firstLine="405" w:firstLineChars="150"/>
        <w:jc w:val="both"/>
        <w:rPr>
          <w:rFonts w:hint="eastAsia" w:ascii="仿宋" w:hAnsi="仿宋" w:eastAsia="仿宋" w:cs="仿宋"/>
          <w:color w:val="000000"/>
          <w:kern w:val="0"/>
          <w:sz w:val="27"/>
          <w:szCs w:val="27"/>
          <w:lang w:bidi="ar"/>
        </w:rPr>
      </w:pPr>
    </w:p>
    <w:p w14:paraId="5AEDF730">
      <w:pPr>
        <w:pageBreakBefore w:val="0"/>
        <w:kinsoku/>
        <w:wordWrap/>
        <w:overflowPunct/>
        <w:topLinePunct w:val="0"/>
        <w:autoSpaceDE/>
        <w:autoSpaceDN/>
        <w:bidi w:val="0"/>
        <w:spacing w:line="360" w:lineRule="auto"/>
        <w:jc w:val="center"/>
        <w:rPr>
          <w:rFonts w:hint="eastAsia" w:ascii="仿宋" w:hAnsi="仿宋" w:eastAsia="仿宋" w:cs="仿宋"/>
        </w:rPr>
      </w:pPr>
      <w:r>
        <w:rPr>
          <w:rFonts w:hint="eastAsia" w:ascii="仿宋" w:hAnsi="仿宋" w:eastAsia="仿宋" w:cs="仿宋"/>
        </w:rPr>
        <w:drawing>
          <wp:inline distT="0" distB="0" distL="114300" distR="114300">
            <wp:extent cx="4671060" cy="3429000"/>
            <wp:effectExtent l="0" t="0" r="7620" b="0"/>
            <wp:docPr id="6" name="图片 2" descr="43adb4233472ae3256d1772ed0033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43adb4233472ae3256d1772ed003386"/>
                    <pic:cNvPicPr>
                      <a:picLocks noChangeAspect="1"/>
                    </pic:cNvPicPr>
                  </pic:nvPicPr>
                  <pic:blipFill>
                    <a:blip r:embed="rId5"/>
                    <a:stretch>
                      <a:fillRect/>
                    </a:stretch>
                  </pic:blipFill>
                  <pic:spPr>
                    <a:xfrm>
                      <a:off x="0" y="0"/>
                      <a:ext cx="4671060" cy="3429000"/>
                    </a:xfrm>
                    <a:prstGeom prst="rect">
                      <a:avLst/>
                    </a:prstGeom>
                    <a:noFill/>
                    <a:ln>
                      <a:noFill/>
                    </a:ln>
                  </pic:spPr>
                </pic:pic>
              </a:graphicData>
            </a:graphic>
          </wp:inline>
        </w:drawing>
      </w:r>
    </w:p>
    <w:p w14:paraId="5107F167">
      <w:pPr>
        <w:pageBreakBefore w:val="0"/>
        <w:widowControl/>
        <w:kinsoku/>
        <w:wordWrap/>
        <w:overflowPunct/>
        <w:topLinePunct w:val="0"/>
        <w:autoSpaceDE/>
        <w:autoSpaceDN/>
        <w:bidi w:val="0"/>
        <w:spacing w:line="360" w:lineRule="auto"/>
        <w:jc w:val="center"/>
        <w:outlineLvl w:val="4"/>
        <w:rPr>
          <w:rFonts w:hint="eastAsia" w:ascii="仿宋" w:hAnsi="仿宋" w:eastAsia="仿宋" w:cs="仿宋"/>
          <w:b/>
          <w:bCs w:val="0"/>
          <w:sz w:val="24"/>
          <w:szCs w:val="24"/>
        </w:rPr>
      </w:pPr>
      <w:r>
        <w:rPr>
          <w:rFonts w:hint="eastAsia" w:ascii="仿宋" w:hAnsi="仿宋" w:eastAsia="仿宋" w:cs="仿宋"/>
          <w:b/>
          <w:bCs w:val="0"/>
          <w:color w:val="000000"/>
          <w:kern w:val="0"/>
          <w:sz w:val="24"/>
          <w:szCs w:val="24"/>
          <w:lang w:val="en-US" w:eastAsia="zh-CN" w:bidi="ar"/>
        </w:rPr>
        <w:t xml:space="preserve">图1-2 </w:t>
      </w:r>
      <w:r>
        <w:rPr>
          <w:rFonts w:hint="eastAsia" w:ascii="仿宋" w:hAnsi="仿宋" w:eastAsia="仿宋" w:cs="仿宋"/>
          <w:b/>
          <w:bCs w:val="0"/>
          <w:color w:val="000000"/>
          <w:kern w:val="0"/>
          <w:sz w:val="24"/>
          <w:szCs w:val="24"/>
          <w:lang w:bidi="ar"/>
        </w:rPr>
        <w:t>绵竹市城市总体规划图</w:t>
      </w:r>
    </w:p>
    <w:p w14:paraId="00167AF7">
      <w:pPr>
        <w:pageBreakBefore w:val="0"/>
        <w:kinsoku/>
        <w:wordWrap/>
        <w:overflowPunct/>
        <w:topLinePunct w:val="0"/>
        <w:autoSpaceDE/>
        <w:autoSpaceDN/>
        <w:bidi w:val="0"/>
        <w:spacing w:line="360" w:lineRule="auto"/>
        <w:jc w:val="both"/>
        <w:rPr>
          <w:rFonts w:hint="eastAsia" w:ascii="仿宋" w:hAnsi="仿宋" w:eastAsia="仿宋" w:cs="仿宋"/>
          <w:b/>
          <w:bCs/>
          <w:szCs w:val="32"/>
        </w:rPr>
      </w:pPr>
    </w:p>
    <w:p w14:paraId="4851CD15">
      <w:pPr>
        <w:pStyle w:val="2"/>
        <w:pageBreakBefore w:val="0"/>
        <w:kinsoku/>
        <w:wordWrap/>
        <w:overflowPunct/>
        <w:topLinePunct w:val="0"/>
        <w:autoSpaceDE/>
        <w:autoSpaceDN/>
        <w:bidi w:val="0"/>
        <w:spacing w:line="360" w:lineRule="auto"/>
        <w:jc w:val="both"/>
        <w:rPr>
          <w:rFonts w:hint="eastAsia" w:ascii="仿宋" w:hAnsi="仿宋" w:eastAsia="仿宋" w:cs="仿宋"/>
        </w:rPr>
      </w:pPr>
    </w:p>
    <w:p w14:paraId="2A9EFD6C">
      <w:pPr>
        <w:pStyle w:val="3"/>
        <w:pageBreakBefore w:val="0"/>
        <w:kinsoku/>
        <w:wordWrap/>
        <w:overflowPunct/>
        <w:topLinePunct w:val="0"/>
        <w:autoSpaceDE/>
        <w:autoSpaceDN/>
        <w:bidi w:val="0"/>
        <w:spacing w:line="360" w:lineRule="auto"/>
        <w:jc w:val="both"/>
        <w:rPr>
          <w:rFonts w:hint="eastAsia" w:ascii="仿宋" w:hAnsi="仿宋" w:eastAsia="仿宋" w:cs="仿宋"/>
        </w:rPr>
      </w:pPr>
    </w:p>
    <w:p w14:paraId="09514653">
      <w:pPr>
        <w:pageBreakBefore w:val="0"/>
        <w:kinsoku/>
        <w:wordWrap/>
        <w:overflowPunct/>
        <w:topLinePunct w:val="0"/>
        <w:autoSpaceDE/>
        <w:autoSpaceDN/>
        <w:bidi w:val="0"/>
        <w:spacing w:line="360" w:lineRule="auto"/>
        <w:jc w:val="center"/>
        <w:rPr>
          <w:rFonts w:hint="eastAsia" w:ascii="仿宋" w:hAnsi="仿宋" w:eastAsia="仿宋" w:cs="仿宋"/>
        </w:rPr>
      </w:pPr>
      <w:r>
        <w:rPr>
          <w:rFonts w:hint="eastAsia" w:ascii="仿宋" w:hAnsi="仿宋" w:eastAsia="仿宋" w:cs="仿宋"/>
        </w:rPr>
        <w:drawing>
          <wp:inline distT="0" distB="0" distL="114300" distR="114300">
            <wp:extent cx="4582795" cy="3131820"/>
            <wp:effectExtent l="0" t="0" r="4445" b="7620"/>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6"/>
                    <a:stretch>
                      <a:fillRect/>
                    </a:stretch>
                  </pic:blipFill>
                  <pic:spPr>
                    <a:xfrm>
                      <a:off x="0" y="0"/>
                      <a:ext cx="4582795" cy="3131820"/>
                    </a:xfrm>
                    <a:prstGeom prst="rect">
                      <a:avLst/>
                    </a:prstGeom>
                    <a:noFill/>
                    <a:ln>
                      <a:noFill/>
                    </a:ln>
                  </pic:spPr>
                </pic:pic>
              </a:graphicData>
            </a:graphic>
          </wp:inline>
        </w:drawing>
      </w:r>
    </w:p>
    <w:p w14:paraId="3EA2E58A">
      <w:pPr>
        <w:pageBreakBefore w:val="0"/>
        <w:widowControl/>
        <w:kinsoku/>
        <w:wordWrap/>
        <w:overflowPunct/>
        <w:topLinePunct w:val="0"/>
        <w:autoSpaceDE/>
        <w:autoSpaceDN/>
        <w:bidi w:val="0"/>
        <w:spacing w:line="360" w:lineRule="auto"/>
        <w:jc w:val="center"/>
        <w:outlineLvl w:val="4"/>
        <w:rPr>
          <w:rFonts w:hint="eastAsia" w:ascii="仿宋" w:hAnsi="仿宋" w:eastAsia="仿宋" w:cs="仿宋"/>
          <w:b/>
          <w:bCs w:val="0"/>
          <w:color w:val="000000"/>
          <w:kern w:val="0"/>
          <w:sz w:val="24"/>
          <w:szCs w:val="24"/>
          <w:lang w:bidi="ar"/>
        </w:rPr>
      </w:pPr>
      <w:r>
        <w:rPr>
          <w:rFonts w:hint="eastAsia" w:ascii="仿宋" w:hAnsi="仿宋" w:eastAsia="仿宋" w:cs="仿宋"/>
          <w:b/>
          <w:bCs w:val="0"/>
          <w:color w:val="000000"/>
          <w:kern w:val="0"/>
          <w:sz w:val="24"/>
          <w:szCs w:val="24"/>
          <w:lang w:val="en-US" w:eastAsia="zh-CN" w:bidi="ar"/>
        </w:rPr>
        <w:t xml:space="preserve">图1-3 </w:t>
      </w:r>
      <w:r>
        <w:rPr>
          <w:rFonts w:hint="eastAsia" w:ascii="仿宋" w:hAnsi="仿宋" w:eastAsia="仿宋" w:cs="仿宋"/>
          <w:b/>
          <w:bCs w:val="0"/>
          <w:color w:val="000000"/>
          <w:kern w:val="0"/>
          <w:sz w:val="24"/>
          <w:szCs w:val="24"/>
          <w:lang w:bidi="ar"/>
        </w:rPr>
        <w:t>绵竹市产业园区规划图</w:t>
      </w:r>
    </w:p>
    <w:p w14:paraId="28E4DFCB">
      <w:pPr>
        <w:pStyle w:val="2"/>
        <w:pageBreakBefore w:val="0"/>
        <w:kinsoku/>
        <w:wordWrap/>
        <w:overflowPunct/>
        <w:topLinePunct w:val="0"/>
        <w:autoSpaceDE/>
        <w:autoSpaceDN/>
        <w:bidi w:val="0"/>
        <w:spacing w:line="360" w:lineRule="auto"/>
        <w:rPr>
          <w:rFonts w:hint="eastAsia" w:ascii="仿宋" w:hAnsi="仿宋" w:eastAsia="仿宋" w:cs="仿宋"/>
          <w:lang w:val="en-US" w:eastAsia="zh-CN"/>
        </w:rPr>
      </w:pPr>
    </w:p>
    <w:p w14:paraId="041858D9">
      <w:pPr>
        <w:keepNext w:val="0"/>
        <w:keepLines w:val="0"/>
        <w:pageBreakBefore w:val="0"/>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（二）项目情况</w:t>
      </w:r>
    </w:p>
    <w:p w14:paraId="762BA43D">
      <w:pPr>
        <w:keepNext w:val="0"/>
        <w:keepLines w:val="0"/>
        <w:pageBreakBefore w:val="0"/>
        <w:kinsoku/>
        <w:wordWrap/>
        <w:overflowPunct/>
        <w:topLinePunct w:val="0"/>
        <w:autoSpaceDE/>
        <w:autoSpaceDN/>
        <w:bidi w:val="0"/>
        <w:spacing w:line="360" w:lineRule="auto"/>
        <w:ind w:firstLine="522" w:firstLineChars="200"/>
        <w:textAlignment w:val="auto"/>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1.参与主体</w:t>
      </w:r>
    </w:p>
    <w:p w14:paraId="3430F8AE">
      <w:pPr>
        <w:keepNext w:val="0"/>
        <w:keepLines w:val="0"/>
        <w:pageBreakBefore w:val="0"/>
        <w:kinsoku/>
        <w:wordWrap/>
        <w:overflowPunct/>
        <w:topLinePunct w:val="0"/>
        <w:autoSpaceDE/>
        <w:autoSpaceDN/>
        <w:bidi w:val="0"/>
        <w:spacing w:line="360" w:lineRule="auto"/>
        <w:ind w:firstLine="520" w:firstLineChars="200"/>
        <w:textAlignment w:val="auto"/>
        <w:rPr>
          <w:rFonts w:hint="eastAsia" w:ascii="仿宋" w:hAnsi="仿宋" w:eastAsia="仿宋" w:cs="仿宋"/>
          <w:color w:val="000000" w:themeColor="text1"/>
          <w:spacing w:val="-20"/>
          <w:kern w:val="2"/>
          <w:sz w:val="30"/>
          <w:szCs w:val="30"/>
          <w:lang w:val="en-US"/>
          <w14:textFill>
            <w14:solidFill>
              <w14:schemeClr w14:val="tx1"/>
            </w14:solidFill>
          </w14:textFill>
        </w:rPr>
      </w:pPr>
      <w:r>
        <w:rPr>
          <w:rFonts w:hint="eastAsia" w:ascii="仿宋" w:hAnsi="仿宋" w:eastAsia="仿宋" w:cs="仿宋"/>
          <w:color w:val="000000" w:themeColor="text1"/>
          <w:spacing w:val="-20"/>
          <w:sz w:val="30"/>
          <w:szCs w:val="30"/>
          <w14:textFill>
            <w14:solidFill>
              <w14:schemeClr w14:val="tx1"/>
            </w14:solidFill>
          </w14:textFill>
        </w:rPr>
        <w:t>实施机构：</w:t>
      </w:r>
      <w:r>
        <w:rPr>
          <w:rFonts w:hint="eastAsia" w:ascii="仿宋" w:hAnsi="仿宋" w:eastAsia="仿宋" w:cs="仿宋"/>
          <w:kern w:val="2"/>
          <w:sz w:val="30"/>
          <w:szCs w:val="30"/>
          <w:lang w:val="en-US"/>
        </w:rPr>
        <w:t>四川德阳国家农业科技园区管理委员会</w:t>
      </w:r>
    </w:p>
    <w:p w14:paraId="3019AED5">
      <w:pPr>
        <w:pStyle w:val="2"/>
        <w:keepNext w:val="0"/>
        <w:keepLines w:val="0"/>
        <w:pageBreakBefore w:val="0"/>
        <w:kinsoku/>
        <w:wordWrap/>
        <w:overflowPunct/>
        <w:topLinePunct w:val="0"/>
        <w:autoSpaceDE/>
        <w:autoSpaceDN/>
        <w:bidi w:val="0"/>
        <w:spacing w:before="156" w:beforeLines="50" w:after="156" w:afterLines="50" w:line="360" w:lineRule="auto"/>
        <w:ind w:firstLine="520" w:firstLineChars="200"/>
        <w:rPr>
          <w:rFonts w:hint="eastAsia" w:ascii="仿宋" w:hAnsi="仿宋" w:eastAsia="仿宋" w:cs="仿宋"/>
          <w:color w:val="000000" w:themeColor="text1"/>
          <w:spacing w:val="-20"/>
          <w:kern w:val="2"/>
          <w:sz w:val="30"/>
          <w:szCs w:val="30"/>
          <w:lang w:val="en-US"/>
          <w14:textFill>
            <w14:solidFill>
              <w14:schemeClr w14:val="tx1"/>
            </w14:solidFill>
          </w14:textFill>
        </w:rPr>
      </w:pPr>
      <w:r>
        <w:rPr>
          <w:rFonts w:hint="eastAsia" w:ascii="仿宋" w:hAnsi="仿宋" w:eastAsia="仿宋" w:cs="仿宋"/>
          <w:color w:val="000000" w:themeColor="text1"/>
          <w:spacing w:val="-20"/>
          <w:sz w:val="30"/>
          <w:szCs w:val="30"/>
          <w14:textFill>
            <w14:solidFill>
              <w14:schemeClr w14:val="tx1"/>
            </w14:solidFill>
          </w14:textFill>
        </w:rPr>
        <w:t>项目业主：</w:t>
      </w:r>
      <w:r>
        <w:rPr>
          <w:rFonts w:hint="eastAsia" w:ascii="仿宋" w:hAnsi="仿宋" w:eastAsia="仿宋" w:cs="仿宋"/>
          <w:kern w:val="2"/>
          <w:sz w:val="30"/>
          <w:szCs w:val="30"/>
          <w:lang w:val="en-US"/>
        </w:rPr>
        <w:t>四川九熙农业发展有限公司</w:t>
      </w:r>
    </w:p>
    <w:p w14:paraId="107F6B05">
      <w:pPr>
        <w:keepNext w:val="0"/>
        <w:keepLines w:val="0"/>
        <w:pageBreakBefore w:val="0"/>
        <w:kinsoku/>
        <w:wordWrap/>
        <w:overflowPunct/>
        <w:topLinePunct w:val="0"/>
        <w:autoSpaceDE/>
        <w:autoSpaceDN/>
        <w:bidi w:val="0"/>
        <w:spacing w:line="360" w:lineRule="auto"/>
        <w:ind w:firstLine="522" w:firstLineChars="200"/>
        <w:textAlignment w:val="auto"/>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2.项目概况</w:t>
      </w:r>
    </w:p>
    <w:p w14:paraId="2A11AC97">
      <w:pPr>
        <w:keepNext w:val="0"/>
        <w:keepLines w:val="0"/>
        <w:pageBreakBefore w:val="0"/>
        <w:widowControl w:val="0"/>
        <w:kinsoku/>
        <w:wordWrap/>
        <w:overflowPunct/>
        <w:topLinePunct w:val="0"/>
        <w:autoSpaceDE/>
        <w:autoSpaceDN/>
        <w:bidi w:val="0"/>
        <w:adjustRightInd/>
        <w:snapToGrid/>
        <w:spacing w:line="360" w:lineRule="auto"/>
        <w:ind w:firstLine="520" w:firstLineChars="200"/>
        <w:textAlignment w:val="auto"/>
        <w:rPr>
          <w:rFonts w:hint="eastAsia" w:ascii="仿宋" w:hAnsi="仿宋" w:eastAsia="仿宋" w:cs="仿宋"/>
          <w:color w:val="000000" w:themeColor="text1"/>
          <w:spacing w:val="-20"/>
          <w:sz w:val="30"/>
          <w:szCs w:val="30"/>
          <w14:textFill>
            <w14:solidFill>
              <w14:schemeClr w14:val="tx1"/>
            </w14:solidFill>
          </w14:textFill>
        </w:rPr>
      </w:pPr>
      <w:r>
        <w:rPr>
          <w:rFonts w:hint="eastAsia" w:ascii="仿宋" w:hAnsi="仿宋" w:eastAsia="仿宋" w:cs="仿宋"/>
          <w:color w:val="000000" w:themeColor="text1"/>
          <w:spacing w:val="-20"/>
          <w:sz w:val="30"/>
          <w:szCs w:val="30"/>
          <w14:textFill>
            <w14:solidFill>
              <w14:schemeClr w14:val="tx1"/>
            </w14:solidFill>
          </w14:textFill>
        </w:rPr>
        <w:t>项目所属领域：农业-现代农业园区</w:t>
      </w:r>
    </w:p>
    <w:p w14:paraId="1FB26A20">
      <w:pPr>
        <w:keepNext w:val="0"/>
        <w:keepLines w:val="0"/>
        <w:pageBreakBefore w:val="0"/>
        <w:widowControl w:val="0"/>
        <w:kinsoku/>
        <w:wordWrap/>
        <w:overflowPunct/>
        <w:topLinePunct w:val="0"/>
        <w:autoSpaceDE/>
        <w:autoSpaceDN/>
        <w:bidi w:val="0"/>
        <w:adjustRightInd/>
        <w:snapToGrid/>
        <w:spacing w:line="360" w:lineRule="auto"/>
        <w:ind w:firstLine="520" w:firstLineChars="200"/>
        <w:textAlignment w:val="auto"/>
        <w:rPr>
          <w:rFonts w:hint="eastAsia" w:ascii="仿宋" w:hAnsi="仿宋" w:eastAsia="仿宋" w:cs="仿宋"/>
          <w:color w:val="000000" w:themeColor="text1"/>
          <w:spacing w:val="-20"/>
          <w:sz w:val="30"/>
          <w:szCs w:val="30"/>
          <w14:textFill>
            <w14:solidFill>
              <w14:schemeClr w14:val="tx1"/>
            </w14:solidFill>
          </w14:textFill>
        </w:rPr>
      </w:pPr>
      <w:r>
        <w:rPr>
          <w:rFonts w:hint="eastAsia" w:ascii="仿宋" w:hAnsi="仿宋" w:eastAsia="仿宋" w:cs="仿宋"/>
          <w:color w:val="000000" w:themeColor="text1"/>
          <w:spacing w:val="-20"/>
          <w:sz w:val="30"/>
          <w:szCs w:val="30"/>
          <w14:textFill>
            <w14:solidFill>
              <w14:schemeClr w14:val="tx1"/>
            </w14:solidFill>
          </w14:textFill>
        </w:rPr>
        <w:t>项目性质：新建</w:t>
      </w:r>
    </w:p>
    <w:p w14:paraId="1F2D5401">
      <w:pPr>
        <w:keepNext w:val="0"/>
        <w:keepLines w:val="0"/>
        <w:pageBreakBefore w:val="0"/>
        <w:widowControl w:val="0"/>
        <w:kinsoku/>
        <w:wordWrap/>
        <w:overflowPunct/>
        <w:topLinePunct w:val="0"/>
        <w:autoSpaceDE/>
        <w:autoSpaceDN/>
        <w:bidi w:val="0"/>
        <w:adjustRightInd/>
        <w:snapToGrid/>
        <w:spacing w:line="360" w:lineRule="auto"/>
        <w:ind w:firstLine="520" w:firstLineChars="200"/>
        <w:textAlignment w:val="auto"/>
        <w:rPr>
          <w:rFonts w:hint="eastAsia" w:ascii="仿宋" w:hAnsi="仿宋" w:eastAsia="仿宋" w:cs="仿宋"/>
          <w:color w:val="000000" w:themeColor="text1"/>
          <w:spacing w:val="-20"/>
          <w:sz w:val="30"/>
          <w:szCs w:val="30"/>
          <w14:textFill>
            <w14:solidFill>
              <w14:schemeClr w14:val="tx1"/>
            </w14:solidFill>
          </w14:textFill>
        </w:rPr>
      </w:pPr>
      <w:r>
        <w:rPr>
          <w:rFonts w:hint="eastAsia" w:ascii="仿宋" w:hAnsi="仿宋" w:eastAsia="仿宋" w:cs="仿宋"/>
          <w:color w:val="000000" w:themeColor="text1"/>
          <w:spacing w:val="-20"/>
          <w:sz w:val="30"/>
          <w:szCs w:val="30"/>
          <w14:textFill>
            <w14:solidFill>
              <w14:schemeClr w14:val="tx1"/>
            </w14:solidFill>
          </w14:textFill>
        </w:rPr>
        <w:t>（1）项目所在地及建设条件情况</w:t>
      </w:r>
    </w:p>
    <w:p w14:paraId="4539A673">
      <w:pPr>
        <w:keepNext w:val="0"/>
        <w:keepLines w:val="0"/>
        <w:pageBreakBefore w:val="0"/>
        <w:widowControl w:val="0"/>
        <w:kinsoku/>
        <w:wordWrap/>
        <w:overflowPunct/>
        <w:topLinePunct w:val="0"/>
        <w:autoSpaceDE/>
        <w:autoSpaceDN/>
        <w:bidi w:val="0"/>
        <w:adjustRightInd/>
        <w:snapToGrid/>
        <w:spacing w:line="360" w:lineRule="auto"/>
        <w:ind w:firstLine="520" w:firstLineChars="200"/>
        <w:textAlignment w:val="auto"/>
        <w:rPr>
          <w:rFonts w:hint="eastAsia" w:ascii="仿宋" w:hAnsi="仿宋" w:eastAsia="仿宋" w:cs="仿宋"/>
          <w:color w:val="000000" w:themeColor="text1"/>
          <w:spacing w:val="-20"/>
          <w:sz w:val="30"/>
          <w:szCs w:val="30"/>
          <w14:textFill>
            <w14:solidFill>
              <w14:schemeClr w14:val="tx1"/>
            </w14:solidFill>
          </w14:textFill>
        </w:rPr>
      </w:pPr>
      <w:r>
        <w:rPr>
          <w:rFonts w:hint="eastAsia" w:ascii="仿宋" w:hAnsi="仿宋" w:eastAsia="仿宋" w:cs="仿宋"/>
          <w:color w:val="000000" w:themeColor="text1"/>
          <w:spacing w:val="-20"/>
          <w:sz w:val="30"/>
          <w:szCs w:val="30"/>
          <w14:textFill>
            <w14:solidFill>
              <w14:schemeClr w14:val="tx1"/>
            </w14:solidFill>
          </w14:textFill>
        </w:rPr>
        <w:t>（一）新建新型智慧农业基地及新建农产品分拣及保鲜储存等辅助用房拟建地址位于绵竹市九龙镇秦家坎村（原华普农业猕猴桃基地），新建数字化农业产业决策平台、装饰装修双创基地及新建生物育种实验室选址位于绵竹市名酒食品工业园绵竹市科技创新创业孵化中心。</w:t>
      </w:r>
    </w:p>
    <w:p w14:paraId="1CB8C04E">
      <w:pPr>
        <w:keepNext w:val="0"/>
        <w:keepLines w:val="0"/>
        <w:pageBreakBefore w:val="0"/>
        <w:widowControl w:val="0"/>
        <w:kinsoku/>
        <w:wordWrap/>
        <w:overflowPunct/>
        <w:topLinePunct w:val="0"/>
        <w:autoSpaceDE/>
        <w:autoSpaceDN/>
        <w:bidi w:val="0"/>
        <w:adjustRightInd/>
        <w:snapToGrid/>
        <w:spacing w:line="360" w:lineRule="auto"/>
        <w:ind w:firstLine="520" w:firstLineChars="200"/>
        <w:textAlignment w:val="auto"/>
        <w:rPr>
          <w:rFonts w:hint="eastAsia" w:ascii="仿宋" w:hAnsi="仿宋" w:eastAsia="仿宋" w:cs="仿宋"/>
          <w:color w:val="000000" w:themeColor="text1"/>
          <w:spacing w:val="-20"/>
          <w:sz w:val="30"/>
          <w:szCs w:val="30"/>
          <w14:textFill>
            <w14:solidFill>
              <w14:schemeClr w14:val="tx1"/>
            </w14:solidFill>
          </w14:textFill>
        </w:rPr>
      </w:pPr>
      <w:r>
        <w:rPr>
          <w:rFonts w:hint="eastAsia" w:ascii="仿宋" w:hAnsi="仿宋" w:eastAsia="仿宋" w:cs="仿宋"/>
          <w:color w:val="000000" w:themeColor="text1"/>
          <w:spacing w:val="-20"/>
          <w:sz w:val="30"/>
          <w:szCs w:val="30"/>
          <w14:textFill>
            <w14:solidFill>
              <w14:schemeClr w14:val="tx1"/>
            </w14:solidFill>
          </w14:textFill>
        </w:rPr>
        <w:t>（二）绵竹市九龙镇秦家坎村（原华普农业猕猴桃基地）毗邻省道S216及绵竹市大熊猫公园和绵竹市玫瑰公园；绵竹市名酒食品工业园绵竹市科技创新创业孵化中心位于绵竹市横一路附近，临近酒城安置房二期。</w:t>
      </w:r>
    </w:p>
    <w:p w14:paraId="34594793">
      <w:pPr>
        <w:keepNext w:val="0"/>
        <w:keepLines w:val="0"/>
        <w:pageBreakBefore w:val="0"/>
        <w:widowControl w:val="0"/>
        <w:kinsoku/>
        <w:wordWrap/>
        <w:overflowPunct/>
        <w:topLinePunct w:val="0"/>
        <w:autoSpaceDE/>
        <w:autoSpaceDN/>
        <w:bidi w:val="0"/>
        <w:adjustRightInd/>
        <w:snapToGrid/>
        <w:spacing w:line="360" w:lineRule="auto"/>
        <w:ind w:firstLine="520" w:firstLineChars="200"/>
        <w:textAlignment w:val="auto"/>
        <w:rPr>
          <w:rFonts w:hint="eastAsia" w:ascii="仿宋" w:hAnsi="仿宋" w:eastAsia="仿宋" w:cs="仿宋"/>
          <w:color w:val="000000" w:themeColor="text1"/>
          <w:spacing w:val="-20"/>
          <w:sz w:val="30"/>
          <w:szCs w:val="30"/>
          <w14:textFill>
            <w14:solidFill>
              <w14:schemeClr w14:val="tx1"/>
            </w14:solidFill>
          </w14:textFill>
        </w:rPr>
      </w:pPr>
      <w:r>
        <w:rPr>
          <w:rFonts w:hint="eastAsia" w:ascii="仿宋" w:hAnsi="仿宋" w:eastAsia="仿宋" w:cs="仿宋"/>
          <w:color w:val="000000" w:themeColor="text1"/>
          <w:spacing w:val="-20"/>
          <w:sz w:val="30"/>
          <w:szCs w:val="30"/>
          <w14:textFill>
            <w14:solidFill>
              <w14:schemeClr w14:val="tx1"/>
            </w14:solidFill>
          </w14:textFill>
        </w:rPr>
        <w:t>（2）建设规模及主要工程量</w:t>
      </w:r>
    </w:p>
    <w:p w14:paraId="4EE83C86">
      <w:pPr>
        <w:keepNext w:val="0"/>
        <w:keepLines w:val="0"/>
        <w:pageBreakBefore w:val="0"/>
        <w:numPr>
          <w:ilvl w:val="0"/>
          <w:numId w:val="0"/>
        </w:numPr>
        <w:kinsoku/>
        <w:wordWrap/>
        <w:overflowPunct/>
        <w:topLinePunct w:val="0"/>
        <w:autoSpaceDE/>
        <w:autoSpaceDN/>
        <w:bidi w:val="0"/>
        <w:spacing w:line="360" w:lineRule="auto"/>
        <w:ind w:firstLine="640" w:firstLineChars="200"/>
        <w:rPr>
          <w:rFonts w:hint="eastAsia" w:ascii="仿宋" w:hAnsi="仿宋" w:eastAsia="仿宋" w:cs="仿宋"/>
        </w:rPr>
      </w:pPr>
      <w:r>
        <w:rPr>
          <w:rFonts w:hint="eastAsia" w:ascii="仿宋" w:hAnsi="仿宋" w:eastAsia="仿宋" w:cs="仿宋"/>
          <w:color w:val="2A1100"/>
          <w:sz w:val="32"/>
          <w:szCs w:val="32"/>
          <w:lang w:eastAsia="zh-Hans"/>
        </w:rPr>
        <w:t>新建经济作物生物育种基地约4000㎡、种质资源保存基地约6600㎡、连栋薄膜温室约190亩、单栋插地大棚约200亩、水肥一体化约1000㎡、 农产品分拣及保鲜储存等辅助用房约3000㎡、数字化农业决策系统1000㎡、生物育种实验室约1000㎡等配套基础设施设备。</w:t>
      </w:r>
    </w:p>
    <w:p w14:paraId="5BA8C3D8">
      <w:pPr>
        <w:pStyle w:val="18"/>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 w:hAnsi="仿宋" w:eastAsia="仿宋" w:cs="仿宋"/>
          <w:color w:val="000000" w:themeColor="text1"/>
          <w:spacing w:val="-20"/>
          <w:kern w:val="2"/>
          <w:sz w:val="30"/>
          <w:szCs w:val="30"/>
          <w:lang w:val="en-US" w:eastAsia="zh-CN" w:bidi="ar-SA"/>
          <w14:textFill>
            <w14:solidFill>
              <w14:schemeClr w14:val="tx1"/>
            </w14:solidFill>
          </w14:textFill>
        </w:rPr>
      </w:pPr>
      <w:r>
        <w:rPr>
          <w:rFonts w:hint="eastAsia" w:ascii="仿宋" w:hAnsi="仿宋" w:eastAsia="仿宋" w:cs="仿宋"/>
          <w:color w:val="000000" w:themeColor="text1"/>
          <w:spacing w:val="-20"/>
          <w:kern w:val="2"/>
          <w:sz w:val="30"/>
          <w:szCs w:val="30"/>
          <w:lang w:val="en-US" w:eastAsia="zh-CN" w:bidi="ar-SA"/>
          <w14:textFill>
            <w14:solidFill>
              <w14:schemeClr w14:val="tx1"/>
            </w14:solidFill>
          </w14:textFill>
        </w:rPr>
        <w:t>（3）建设期</w:t>
      </w:r>
    </w:p>
    <w:p w14:paraId="01980376">
      <w:pPr>
        <w:pStyle w:val="3"/>
        <w:pageBreakBefore w:val="0"/>
        <w:kinsoku/>
        <w:wordWrap/>
        <w:overflowPunct/>
        <w:topLinePunct w:val="0"/>
        <w:autoSpaceDE/>
        <w:autoSpaceDN/>
        <w:bidi w:val="0"/>
        <w:adjustRightInd/>
        <w:spacing w:line="360" w:lineRule="auto"/>
        <w:ind w:firstLine="640" w:firstLineChars="200"/>
        <w:jc w:val="both"/>
        <w:rPr>
          <w:rFonts w:hint="eastAsia" w:ascii="仿宋" w:hAnsi="仿宋" w:eastAsia="仿宋" w:cs="仿宋"/>
          <w:b w:val="0"/>
          <w:bCs w:val="0"/>
          <w:sz w:val="32"/>
          <w:szCs w:val="32"/>
        </w:rPr>
      </w:pPr>
      <w:r>
        <w:rPr>
          <w:rFonts w:hint="eastAsia" w:ascii="仿宋" w:hAnsi="仿宋" w:eastAsia="仿宋" w:cs="仿宋"/>
          <w:b w:val="0"/>
          <w:bCs w:val="0"/>
          <w:caps/>
          <w:sz w:val="32"/>
          <w:szCs w:val="32"/>
        </w:rPr>
        <w:t>本项目建设期为</w:t>
      </w:r>
      <w:r>
        <w:rPr>
          <w:rFonts w:hint="eastAsia" w:ascii="仿宋" w:hAnsi="仿宋" w:eastAsia="仿宋" w:cs="仿宋"/>
          <w:b w:val="0"/>
          <w:bCs w:val="0"/>
          <w:caps/>
          <w:sz w:val="32"/>
          <w:szCs w:val="32"/>
          <w:lang w:val="en-US" w:eastAsia="zh-CN"/>
        </w:rPr>
        <w:t>24</w:t>
      </w:r>
      <w:r>
        <w:rPr>
          <w:rFonts w:hint="eastAsia" w:ascii="仿宋" w:hAnsi="仿宋" w:eastAsia="仿宋" w:cs="仿宋"/>
          <w:b w:val="0"/>
          <w:bCs w:val="0"/>
          <w:caps/>
          <w:sz w:val="32"/>
          <w:szCs w:val="32"/>
        </w:rPr>
        <w:t>个月，建设期预计</w:t>
      </w:r>
      <w:r>
        <w:rPr>
          <w:rFonts w:hint="eastAsia" w:ascii="仿宋" w:hAnsi="仿宋" w:eastAsia="仿宋" w:cs="仿宋"/>
          <w:b w:val="0"/>
          <w:bCs w:val="0"/>
          <w:caps/>
          <w:sz w:val="32"/>
          <w:szCs w:val="32"/>
          <w:highlight w:val="none"/>
        </w:rPr>
        <w:t>从202</w:t>
      </w:r>
      <w:r>
        <w:rPr>
          <w:rFonts w:hint="eastAsia" w:ascii="仿宋" w:hAnsi="仿宋" w:eastAsia="仿宋" w:cs="仿宋"/>
          <w:b w:val="0"/>
          <w:bCs w:val="0"/>
          <w:caps/>
          <w:sz w:val="32"/>
          <w:szCs w:val="32"/>
          <w:highlight w:val="none"/>
          <w:lang w:val="en-US" w:eastAsia="zh-CN"/>
        </w:rPr>
        <w:t>2</w:t>
      </w:r>
      <w:r>
        <w:rPr>
          <w:rFonts w:hint="eastAsia" w:ascii="仿宋" w:hAnsi="仿宋" w:eastAsia="仿宋" w:cs="仿宋"/>
          <w:b w:val="0"/>
          <w:bCs w:val="0"/>
          <w:caps/>
          <w:sz w:val="32"/>
          <w:szCs w:val="32"/>
          <w:highlight w:val="none"/>
        </w:rPr>
        <w:t>年</w:t>
      </w:r>
      <w:r>
        <w:rPr>
          <w:rFonts w:hint="eastAsia" w:ascii="仿宋" w:hAnsi="仿宋" w:eastAsia="仿宋" w:cs="仿宋"/>
          <w:b w:val="0"/>
          <w:bCs w:val="0"/>
          <w:caps/>
          <w:sz w:val="32"/>
          <w:szCs w:val="32"/>
          <w:highlight w:val="none"/>
          <w:lang w:val="en-US" w:eastAsia="zh-CN"/>
        </w:rPr>
        <w:t>5</w:t>
      </w:r>
      <w:r>
        <w:rPr>
          <w:rFonts w:hint="eastAsia" w:ascii="仿宋" w:hAnsi="仿宋" w:eastAsia="仿宋" w:cs="仿宋"/>
          <w:b w:val="0"/>
          <w:bCs w:val="0"/>
          <w:caps/>
          <w:sz w:val="32"/>
          <w:szCs w:val="32"/>
          <w:highlight w:val="none"/>
        </w:rPr>
        <w:t>月至202</w:t>
      </w:r>
      <w:r>
        <w:rPr>
          <w:rFonts w:hint="eastAsia" w:ascii="仿宋" w:hAnsi="仿宋" w:eastAsia="仿宋" w:cs="仿宋"/>
          <w:b w:val="0"/>
          <w:bCs w:val="0"/>
          <w:caps/>
          <w:sz w:val="32"/>
          <w:szCs w:val="32"/>
          <w:highlight w:val="none"/>
          <w:lang w:val="en-US" w:eastAsia="zh-CN"/>
        </w:rPr>
        <w:t>4</w:t>
      </w:r>
      <w:r>
        <w:rPr>
          <w:rFonts w:hint="eastAsia" w:ascii="仿宋" w:hAnsi="仿宋" w:eastAsia="仿宋" w:cs="仿宋"/>
          <w:b w:val="0"/>
          <w:bCs w:val="0"/>
          <w:caps/>
          <w:sz w:val="32"/>
          <w:szCs w:val="32"/>
          <w:highlight w:val="none"/>
        </w:rPr>
        <w:t>年</w:t>
      </w:r>
      <w:r>
        <w:rPr>
          <w:rFonts w:hint="eastAsia" w:ascii="仿宋" w:hAnsi="仿宋" w:eastAsia="仿宋" w:cs="仿宋"/>
          <w:b w:val="0"/>
          <w:bCs w:val="0"/>
          <w:caps/>
          <w:sz w:val="32"/>
          <w:szCs w:val="32"/>
          <w:highlight w:val="none"/>
          <w:lang w:val="en-US" w:eastAsia="zh-CN"/>
        </w:rPr>
        <w:t>4</w:t>
      </w:r>
      <w:r>
        <w:rPr>
          <w:rFonts w:hint="eastAsia" w:ascii="仿宋" w:hAnsi="仿宋" w:eastAsia="仿宋" w:cs="仿宋"/>
          <w:b w:val="0"/>
          <w:bCs w:val="0"/>
          <w:caps/>
          <w:sz w:val="32"/>
          <w:szCs w:val="32"/>
          <w:highlight w:val="none"/>
        </w:rPr>
        <w:t>月，于202</w:t>
      </w:r>
      <w:r>
        <w:rPr>
          <w:rFonts w:hint="eastAsia" w:ascii="仿宋" w:hAnsi="仿宋" w:eastAsia="仿宋" w:cs="仿宋"/>
          <w:b w:val="0"/>
          <w:bCs w:val="0"/>
          <w:caps/>
          <w:sz w:val="32"/>
          <w:szCs w:val="32"/>
          <w:highlight w:val="none"/>
          <w:lang w:val="en-US" w:eastAsia="zh-CN"/>
        </w:rPr>
        <w:t>4</w:t>
      </w:r>
      <w:r>
        <w:rPr>
          <w:rFonts w:hint="eastAsia" w:ascii="仿宋" w:hAnsi="仿宋" w:eastAsia="仿宋" w:cs="仿宋"/>
          <w:b w:val="0"/>
          <w:bCs w:val="0"/>
          <w:caps/>
          <w:sz w:val="32"/>
          <w:szCs w:val="32"/>
          <w:highlight w:val="none"/>
        </w:rPr>
        <w:t>年</w:t>
      </w:r>
      <w:r>
        <w:rPr>
          <w:rFonts w:hint="eastAsia" w:ascii="仿宋" w:hAnsi="仿宋" w:eastAsia="仿宋" w:cs="仿宋"/>
          <w:b w:val="0"/>
          <w:bCs w:val="0"/>
          <w:caps/>
          <w:sz w:val="32"/>
          <w:szCs w:val="32"/>
          <w:highlight w:val="none"/>
          <w:lang w:val="en-US" w:eastAsia="zh-CN"/>
        </w:rPr>
        <w:t>5</w:t>
      </w:r>
      <w:r>
        <w:rPr>
          <w:rFonts w:hint="eastAsia" w:ascii="仿宋" w:hAnsi="仿宋" w:eastAsia="仿宋" w:cs="仿宋"/>
          <w:b w:val="0"/>
          <w:bCs w:val="0"/>
          <w:caps/>
          <w:sz w:val="32"/>
          <w:szCs w:val="32"/>
          <w:highlight w:val="none"/>
        </w:rPr>
        <w:t>月正式投入运营。本项目采</w:t>
      </w:r>
      <w:r>
        <w:rPr>
          <w:rFonts w:hint="eastAsia" w:ascii="仿宋" w:hAnsi="仿宋" w:eastAsia="仿宋" w:cs="仿宋"/>
          <w:b w:val="0"/>
          <w:bCs w:val="0"/>
          <w:caps/>
          <w:sz w:val="32"/>
          <w:szCs w:val="32"/>
        </w:rPr>
        <w:t>取整体规划分步实施的原则，具体建设内容以最终设计为准。</w:t>
      </w:r>
    </w:p>
    <w:p w14:paraId="4F8E827A">
      <w:pPr>
        <w:keepNext w:val="0"/>
        <w:keepLines w:val="0"/>
        <w:pageBreakBefore w:val="0"/>
        <w:kinsoku/>
        <w:wordWrap/>
        <w:overflowPunct/>
        <w:topLinePunct w:val="0"/>
        <w:autoSpaceDE/>
        <w:autoSpaceDN/>
        <w:bidi w:val="0"/>
        <w:spacing w:line="360" w:lineRule="auto"/>
        <w:ind w:firstLine="600" w:firstLineChars="200"/>
        <w:textAlignment w:val="auto"/>
        <w:outlineLvl w:val="0"/>
        <w:rPr>
          <w:rFonts w:hint="eastAsia" w:ascii="仿宋" w:hAnsi="仿宋" w:eastAsia="仿宋" w:cs="仿宋"/>
          <w:sz w:val="30"/>
          <w:szCs w:val="30"/>
        </w:rPr>
      </w:pPr>
    </w:p>
    <w:p w14:paraId="375810EA">
      <w:pPr>
        <w:pageBreakBefore w:val="0"/>
        <w:kinsoku/>
        <w:wordWrap/>
        <w:overflowPunct/>
        <w:topLinePunct w:val="0"/>
        <w:autoSpaceDE/>
        <w:autoSpaceDN/>
        <w:bidi w:val="0"/>
        <w:spacing w:line="360" w:lineRule="auto"/>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br w:type="page"/>
      </w:r>
    </w:p>
    <w:p w14:paraId="48E88262">
      <w:pPr>
        <w:keepNext w:val="0"/>
        <w:keepLines w:val="0"/>
        <w:pageBreakBefore w:val="0"/>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二、经济社会效益分析</w:t>
      </w:r>
    </w:p>
    <w:p w14:paraId="328C57F4">
      <w:pPr>
        <w:keepNext w:val="0"/>
        <w:keepLines w:val="0"/>
        <w:pageBreakBefore w:val="0"/>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（一）社会效益分析</w:t>
      </w:r>
    </w:p>
    <w:p w14:paraId="18774EB3">
      <w:pPr>
        <w:pageBreakBefore w:val="0"/>
        <w:kinsoku/>
        <w:wordWrap/>
        <w:overflowPunct/>
        <w:topLinePunct w:val="0"/>
        <w:autoSpaceDE/>
        <w:autoSpaceDN/>
        <w:bidi w:val="0"/>
        <w:snapToGrid w:val="0"/>
        <w:spacing w:line="360" w:lineRule="auto"/>
        <w:ind w:left="210" w:leftChars="100" w:right="210" w:rightChars="100" w:firstLine="640" w:firstLineChars="200"/>
        <w:jc w:val="both"/>
        <w:rPr>
          <w:rFonts w:hint="eastAsia" w:ascii="仿宋" w:hAnsi="仿宋" w:eastAsia="仿宋" w:cs="仿宋"/>
          <w:sz w:val="32"/>
          <w:szCs w:val="32"/>
        </w:rPr>
      </w:pPr>
      <w:r>
        <w:rPr>
          <w:rFonts w:hint="eastAsia" w:ascii="仿宋" w:hAnsi="仿宋" w:eastAsia="仿宋" w:cs="仿宋"/>
          <w:sz w:val="32"/>
          <w:szCs w:val="32"/>
        </w:rPr>
        <w:t>项目</w:t>
      </w:r>
      <w:r>
        <w:rPr>
          <w:rFonts w:hint="eastAsia" w:ascii="仿宋" w:hAnsi="仿宋" w:eastAsia="仿宋" w:cs="仿宋"/>
          <w:sz w:val="32"/>
          <w:szCs w:val="32"/>
          <w:lang w:val="en-US" w:eastAsia="zh-CN"/>
        </w:rPr>
        <w:t>的</w:t>
      </w:r>
      <w:r>
        <w:rPr>
          <w:rFonts w:hint="eastAsia" w:ascii="仿宋" w:hAnsi="仿宋" w:eastAsia="仿宋" w:cs="仿宋"/>
          <w:sz w:val="32"/>
          <w:szCs w:val="32"/>
        </w:rPr>
        <w:t>实施将会产生良好的社会效益</w:t>
      </w:r>
      <w:r>
        <w:rPr>
          <w:rFonts w:hint="eastAsia" w:ascii="仿宋" w:hAnsi="仿宋" w:eastAsia="仿宋" w:cs="仿宋"/>
          <w:sz w:val="32"/>
          <w:szCs w:val="32"/>
          <w:lang w:eastAsia="zh-CN"/>
        </w:rPr>
        <w:t>。项目通过完善智慧农业大棚种植、农产品分拣及保鲜储存等辅助用房、数字化农业产业决策平台等设施配套建设，创建统一开放、竞争有序、以农产品产地为基础的农产品种植、加工、市场销售体系。以智慧农业大棚为基础种植草莓、树莓、猕猴桃等农作物，带动绵竹市农业产业的高速发展，构建农产品从种植、加工、销售生产示范全产业链，同时通过新技术渗透，实现农业产业纵深一体化发展，三产有效融合。项目建设使产业结构进一步合理，提质增效效果明显，能带动相当部分贫困人口脱贫致富，可持续发展能力增强。</w:t>
      </w:r>
      <w:r>
        <w:rPr>
          <w:rFonts w:hint="eastAsia" w:ascii="仿宋" w:hAnsi="仿宋" w:eastAsia="仿宋" w:cs="仿宋"/>
          <w:sz w:val="32"/>
          <w:szCs w:val="32"/>
          <w:lang w:val="en-US" w:eastAsia="zh-CN"/>
        </w:rPr>
        <w:t>项目的建设</w:t>
      </w:r>
      <w:r>
        <w:rPr>
          <w:rFonts w:hint="eastAsia" w:ascii="仿宋" w:hAnsi="仿宋" w:eastAsia="仿宋" w:cs="仿宋"/>
          <w:sz w:val="32"/>
          <w:szCs w:val="32"/>
        </w:rPr>
        <w:t>推进现代农业与传统</w:t>
      </w:r>
      <w:r>
        <w:rPr>
          <w:rFonts w:hint="eastAsia" w:ascii="仿宋" w:hAnsi="仿宋" w:eastAsia="仿宋" w:cs="仿宋"/>
          <w:sz w:val="32"/>
          <w:szCs w:val="32"/>
          <w:lang w:val="en-US" w:eastAsia="zh-CN"/>
        </w:rPr>
        <w:t>农业</w:t>
      </w:r>
      <w:r>
        <w:rPr>
          <w:rFonts w:hint="eastAsia" w:ascii="仿宋" w:hAnsi="仿宋" w:eastAsia="仿宋" w:cs="仿宋"/>
          <w:sz w:val="32"/>
          <w:szCs w:val="32"/>
        </w:rPr>
        <w:t>融合发展</w:t>
      </w:r>
      <w:r>
        <w:rPr>
          <w:rFonts w:hint="eastAsia" w:ascii="仿宋" w:hAnsi="仿宋" w:eastAsia="仿宋" w:cs="仿宋"/>
          <w:sz w:val="32"/>
          <w:szCs w:val="32"/>
          <w:lang w:eastAsia="zh-CN"/>
        </w:rPr>
        <w:t>，</w:t>
      </w:r>
      <w:r>
        <w:rPr>
          <w:rFonts w:hint="eastAsia" w:ascii="仿宋" w:hAnsi="仿宋" w:eastAsia="仿宋" w:cs="仿宋"/>
          <w:sz w:val="32"/>
          <w:szCs w:val="32"/>
        </w:rPr>
        <w:t>项目建设不仅促进了农民增收致富，同时也辐射周边地区带动周边地区产业发展，项目发展</w:t>
      </w:r>
      <w:r>
        <w:rPr>
          <w:rFonts w:hint="eastAsia" w:ascii="仿宋" w:hAnsi="仿宋" w:eastAsia="仿宋" w:cs="仿宋"/>
          <w:sz w:val="32"/>
          <w:szCs w:val="32"/>
          <w:lang w:val="en-US" w:eastAsia="zh-CN"/>
        </w:rPr>
        <w:t>特色</w:t>
      </w:r>
      <w:r>
        <w:rPr>
          <w:rFonts w:hint="eastAsia" w:ascii="仿宋" w:hAnsi="仿宋" w:eastAsia="仿宋" w:cs="仿宋"/>
          <w:sz w:val="32"/>
          <w:szCs w:val="32"/>
        </w:rPr>
        <w:t>产业，融合传统乡村旅游资源，为周边游客提供宿、餐、行、养、疗等休闲旅游服务，有利于现代农业</w:t>
      </w:r>
      <w:r>
        <w:rPr>
          <w:rFonts w:hint="eastAsia" w:ascii="仿宋" w:hAnsi="仿宋" w:eastAsia="仿宋" w:cs="仿宋"/>
          <w:sz w:val="32"/>
          <w:szCs w:val="32"/>
          <w:lang w:val="en-US" w:eastAsia="zh-CN"/>
        </w:rPr>
        <w:t>与当地特色产业相</w:t>
      </w:r>
      <w:r>
        <w:rPr>
          <w:rFonts w:hint="eastAsia" w:ascii="仿宋" w:hAnsi="仿宋" w:eastAsia="仿宋" w:cs="仿宋"/>
          <w:sz w:val="32"/>
          <w:szCs w:val="32"/>
        </w:rPr>
        <w:t>融合，对于促进周边地区发展现代农业产业具有较强的辐射带动作用，为项目区发展</w:t>
      </w:r>
      <w:r>
        <w:rPr>
          <w:rFonts w:hint="eastAsia" w:ascii="仿宋" w:hAnsi="仿宋" w:eastAsia="仿宋" w:cs="仿宋"/>
          <w:sz w:val="32"/>
          <w:szCs w:val="32"/>
          <w:lang w:val="en-US" w:eastAsia="zh-CN"/>
        </w:rPr>
        <w:t>乡村振兴</w:t>
      </w:r>
      <w:r>
        <w:rPr>
          <w:rFonts w:hint="eastAsia" w:ascii="仿宋" w:hAnsi="仿宋" w:eastAsia="仿宋" w:cs="仿宋"/>
          <w:sz w:val="32"/>
          <w:szCs w:val="32"/>
        </w:rPr>
        <w:t>提供可复制的示范样板。在经营上积极引导农民合作社、家庭农场、农业企业规范化发展，支持新型经营主体创品牌、拓市场。创新利益联结机制，支持村党组织或村集体经济组织带头创办农民合作社或企业，健全管理机制，盘活村集体闲置资产，达到了联农带农、持续发展的目的。</w:t>
      </w:r>
    </w:p>
    <w:p w14:paraId="0CD22595">
      <w:pPr>
        <w:pageBreakBefore w:val="0"/>
        <w:kinsoku/>
        <w:wordWrap/>
        <w:overflowPunct/>
        <w:topLinePunct w:val="0"/>
        <w:autoSpaceDE/>
        <w:autoSpaceDN/>
        <w:bidi w:val="0"/>
        <w:snapToGrid w:val="0"/>
        <w:spacing w:line="360" w:lineRule="auto"/>
        <w:ind w:left="210" w:leftChars="100" w:right="210" w:rightChars="100" w:firstLine="640" w:firstLineChars="200"/>
        <w:jc w:val="both"/>
        <w:rPr>
          <w:rFonts w:hint="eastAsia" w:ascii="仿宋" w:hAnsi="仿宋" w:eastAsia="仿宋" w:cs="仿宋"/>
          <w:sz w:val="32"/>
          <w:szCs w:val="32"/>
        </w:rPr>
      </w:pPr>
      <w:r>
        <w:rPr>
          <w:rFonts w:hint="eastAsia" w:ascii="仿宋" w:hAnsi="仿宋" w:eastAsia="仿宋" w:cs="仿宋"/>
          <w:sz w:val="32"/>
          <w:szCs w:val="32"/>
        </w:rPr>
        <w:t>项目的建设，会进一步扩大产能，拓宽销售渠道，提高产品附加值，发掘新的经济增长点，带动当地经济，提供更多就业机会，为贫困户拓宽了就业和增收渠道，发展集体经济，据估计，将直接惠及数千名当地居民，间接惠及超过数万名村民。项目实施后，将极大地调动农民生产的积极性，提高农业综合生产能力；也将带动当地经济发展，增加当地政府的财政收入，这对于当地政府继续增加农业投入、改善当地生产生活条件将起到良性的促进作用。</w:t>
      </w:r>
      <w:r>
        <w:rPr>
          <w:rFonts w:hint="eastAsia" w:ascii="仿宋" w:hAnsi="仿宋" w:eastAsia="仿宋" w:cs="仿宋"/>
          <w:b/>
          <w:bCs/>
          <w:color w:val="000000"/>
          <w:sz w:val="32"/>
          <w:szCs w:val="32"/>
          <w:lang w:bidi="ar"/>
        </w:rPr>
        <w:t>项目建成后受益群体广泛、支持者众多，项目适应性好、风险度极小。从社会评价的角度综合评估，本项目的社会效益十分明显。</w:t>
      </w:r>
    </w:p>
    <w:p w14:paraId="25343D93">
      <w:pPr>
        <w:keepNext w:val="0"/>
        <w:keepLines w:val="0"/>
        <w:pageBreakBefore w:val="0"/>
        <w:numPr>
          <w:ilvl w:val="0"/>
          <w:numId w:val="2"/>
        </w:numPr>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经济效益分析</w:t>
      </w:r>
    </w:p>
    <w:p w14:paraId="6514F261">
      <w:pPr>
        <w:pageBreakBefore w:val="0"/>
        <w:numPr>
          <w:ilvl w:val="0"/>
          <w:numId w:val="0"/>
        </w:numPr>
        <w:tabs>
          <w:tab w:val="left" w:pos="0"/>
          <w:tab w:val="left" w:pos="360"/>
        </w:tabs>
        <w:kinsoku/>
        <w:wordWrap/>
        <w:overflowPunct/>
        <w:topLinePunct w:val="0"/>
        <w:autoSpaceDE/>
        <w:autoSpaceDN/>
        <w:bidi w:val="0"/>
        <w:spacing w:before="312" w:after="156" w:line="360" w:lineRule="auto"/>
        <w:ind w:firstLine="640" w:firstLineChars="200"/>
        <w:jc w:val="both"/>
        <w:outlineLvl w:val="9"/>
        <w:rPr>
          <w:rFonts w:hint="eastAsia" w:ascii="仿宋" w:hAnsi="仿宋" w:eastAsia="仿宋" w:cs="仿宋"/>
          <w:b w:val="0"/>
          <w:bCs/>
          <w:sz w:val="32"/>
          <w:szCs w:val="32"/>
          <w:lang w:eastAsia="zh-CN"/>
        </w:rPr>
      </w:pPr>
      <w:r>
        <w:rPr>
          <w:rFonts w:hint="eastAsia" w:ascii="仿宋" w:hAnsi="仿宋" w:eastAsia="仿宋" w:cs="仿宋"/>
          <w:b w:val="0"/>
          <w:bCs/>
          <w:sz w:val="32"/>
          <w:szCs w:val="32"/>
        </w:rPr>
        <w:t>通过</w:t>
      </w:r>
      <w:r>
        <w:rPr>
          <w:rFonts w:hint="eastAsia" w:ascii="仿宋" w:hAnsi="仿宋" w:eastAsia="仿宋" w:cs="仿宋"/>
          <w:b w:val="0"/>
          <w:bCs/>
          <w:sz w:val="32"/>
          <w:szCs w:val="32"/>
          <w:lang w:val="en-US" w:eastAsia="zh-CN"/>
        </w:rPr>
        <w:t>新型智慧农业大棚的建设</w:t>
      </w:r>
      <w:r>
        <w:rPr>
          <w:rFonts w:hint="eastAsia" w:ascii="仿宋" w:hAnsi="仿宋" w:eastAsia="仿宋" w:cs="仿宋"/>
          <w:b w:val="0"/>
          <w:bCs/>
          <w:sz w:val="32"/>
          <w:szCs w:val="32"/>
        </w:rPr>
        <w:t>，</w:t>
      </w:r>
      <w:r>
        <w:rPr>
          <w:rFonts w:hint="eastAsia" w:ascii="仿宋" w:hAnsi="仿宋" w:eastAsia="仿宋" w:cs="仿宋"/>
          <w:b w:val="0"/>
          <w:bCs/>
          <w:sz w:val="32"/>
          <w:szCs w:val="32"/>
          <w:lang w:val="en-US" w:eastAsia="zh-CN"/>
        </w:rPr>
        <w:t>有效的增加了经济作物的产量</w:t>
      </w:r>
      <w:r>
        <w:rPr>
          <w:rFonts w:hint="eastAsia" w:ascii="仿宋" w:hAnsi="仿宋" w:eastAsia="仿宋" w:cs="仿宋"/>
          <w:b w:val="0"/>
          <w:bCs/>
          <w:sz w:val="32"/>
          <w:szCs w:val="32"/>
        </w:rPr>
        <w:t>，提高了质量，增强了农业发展后劲，保证了农业持续稳定发展，将向社会提供大量的农副产品，满足人们日益增长的物质需要。通过改善项目区农田水利设施条件和交通条件，提高劳动生产率</w:t>
      </w:r>
      <w:r>
        <w:rPr>
          <w:rFonts w:hint="eastAsia" w:ascii="仿宋" w:hAnsi="仿宋" w:eastAsia="仿宋" w:cs="仿宋"/>
          <w:b w:val="0"/>
          <w:bCs/>
          <w:sz w:val="32"/>
          <w:szCs w:val="32"/>
          <w:lang w:eastAsia="zh-CN"/>
        </w:rPr>
        <w:t>，</w:t>
      </w:r>
      <w:r>
        <w:rPr>
          <w:rFonts w:hint="eastAsia" w:ascii="仿宋" w:hAnsi="仿宋" w:eastAsia="仿宋" w:cs="仿宋"/>
          <w:b w:val="0"/>
          <w:bCs/>
          <w:sz w:val="32"/>
          <w:szCs w:val="32"/>
        </w:rPr>
        <w:t>降低农业生产成本</w:t>
      </w:r>
      <w:r>
        <w:rPr>
          <w:rFonts w:hint="eastAsia" w:ascii="仿宋" w:hAnsi="仿宋" w:eastAsia="仿宋" w:cs="仿宋"/>
          <w:b w:val="0"/>
          <w:bCs/>
          <w:sz w:val="32"/>
          <w:szCs w:val="32"/>
          <w:lang w:eastAsia="zh-CN"/>
        </w:rPr>
        <w:t>。</w:t>
      </w:r>
      <w:r>
        <w:rPr>
          <w:rFonts w:hint="eastAsia" w:ascii="仿宋" w:hAnsi="仿宋" w:eastAsia="仿宋" w:cs="仿宋"/>
          <w:b/>
          <w:bCs w:val="0"/>
          <w:sz w:val="32"/>
          <w:szCs w:val="32"/>
        </w:rPr>
        <w:t>通过建设</w:t>
      </w:r>
      <w:r>
        <w:rPr>
          <w:rFonts w:hint="eastAsia" w:ascii="仿宋" w:hAnsi="仿宋" w:eastAsia="仿宋" w:cs="仿宋"/>
          <w:b/>
          <w:bCs w:val="0"/>
          <w:sz w:val="32"/>
          <w:szCs w:val="32"/>
          <w:lang w:val="en-US" w:eastAsia="zh-CN"/>
        </w:rPr>
        <w:t>新型智慧农业大棚</w:t>
      </w:r>
      <w:r>
        <w:rPr>
          <w:rFonts w:hint="eastAsia" w:ascii="仿宋" w:hAnsi="仿宋" w:eastAsia="仿宋" w:cs="仿宋"/>
          <w:b/>
          <w:bCs w:val="0"/>
          <w:sz w:val="32"/>
          <w:szCs w:val="32"/>
        </w:rPr>
        <w:t>，提供优质的</w:t>
      </w:r>
      <w:r>
        <w:rPr>
          <w:rFonts w:hint="eastAsia" w:ascii="仿宋" w:hAnsi="仿宋" w:eastAsia="仿宋" w:cs="仿宋"/>
          <w:b/>
          <w:bCs w:val="0"/>
          <w:sz w:val="32"/>
          <w:szCs w:val="32"/>
          <w:lang w:val="en-US" w:eastAsia="zh-CN"/>
        </w:rPr>
        <w:t>经济作物</w:t>
      </w:r>
      <w:r>
        <w:rPr>
          <w:rFonts w:hint="eastAsia" w:ascii="仿宋" w:hAnsi="仿宋" w:eastAsia="仿宋" w:cs="仿宋"/>
          <w:b/>
          <w:bCs w:val="0"/>
          <w:sz w:val="32"/>
          <w:szCs w:val="32"/>
        </w:rPr>
        <w:t>种苗，能够降低</w:t>
      </w:r>
      <w:r>
        <w:rPr>
          <w:rFonts w:hint="eastAsia" w:ascii="仿宋" w:hAnsi="仿宋" w:eastAsia="仿宋" w:cs="仿宋"/>
          <w:b/>
          <w:bCs w:val="0"/>
          <w:sz w:val="32"/>
          <w:szCs w:val="32"/>
          <w:lang w:val="en-US" w:eastAsia="zh-CN"/>
        </w:rPr>
        <w:t>当地经济作物</w:t>
      </w:r>
      <w:r>
        <w:rPr>
          <w:rFonts w:hint="eastAsia" w:ascii="仿宋" w:hAnsi="仿宋" w:eastAsia="仿宋" w:cs="仿宋"/>
          <w:b/>
          <w:bCs w:val="0"/>
          <w:sz w:val="32"/>
          <w:szCs w:val="32"/>
        </w:rPr>
        <w:t>种植成本，同时还能提高</w:t>
      </w:r>
      <w:r>
        <w:rPr>
          <w:rFonts w:hint="eastAsia" w:ascii="仿宋" w:hAnsi="仿宋" w:eastAsia="仿宋" w:cs="仿宋"/>
          <w:b/>
          <w:bCs w:val="0"/>
          <w:sz w:val="32"/>
          <w:szCs w:val="32"/>
          <w:lang w:val="en-US" w:eastAsia="zh-CN"/>
        </w:rPr>
        <w:t>经济作物</w:t>
      </w:r>
      <w:r>
        <w:rPr>
          <w:rFonts w:hint="eastAsia" w:ascii="仿宋" w:hAnsi="仿宋" w:eastAsia="仿宋" w:cs="仿宋"/>
          <w:b/>
          <w:bCs w:val="0"/>
          <w:sz w:val="32"/>
          <w:szCs w:val="32"/>
        </w:rPr>
        <w:t>产量，提升</w:t>
      </w:r>
      <w:r>
        <w:rPr>
          <w:rFonts w:hint="eastAsia" w:ascii="仿宋" w:hAnsi="仿宋" w:eastAsia="仿宋" w:cs="仿宋"/>
          <w:b/>
          <w:bCs w:val="0"/>
          <w:sz w:val="32"/>
          <w:szCs w:val="32"/>
          <w:lang w:val="en-US" w:eastAsia="zh-CN"/>
        </w:rPr>
        <w:t>作物</w:t>
      </w:r>
      <w:r>
        <w:rPr>
          <w:rFonts w:hint="eastAsia" w:ascii="仿宋" w:hAnsi="仿宋" w:eastAsia="仿宋" w:cs="仿宋"/>
          <w:b/>
          <w:bCs w:val="0"/>
          <w:sz w:val="32"/>
          <w:szCs w:val="32"/>
        </w:rPr>
        <w:t>品质，从而增加农民收入，进一步带动周边农民投入到</w:t>
      </w:r>
      <w:r>
        <w:rPr>
          <w:rFonts w:hint="eastAsia" w:ascii="仿宋" w:hAnsi="仿宋" w:eastAsia="仿宋" w:cs="仿宋"/>
          <w:b/>
          <w:bCs w:val="0"/>
          <w:sz w:val="32"/>
          <w:szCs w:val="32"/>
          <w:lang w:val="en-US" w:eastAsia="zh-CN"/>
        </w:rPr>
        <w:t>当地特色农业</w:t>
      </w:r>
      <w:r>
        <w:rPr>
          <w:rFonts w:hint="eastAsia" w:ascii="仿宋" w:hAnsi="仿宋" w:eastAsia="仿宋" w:cs="仿宋"/>
          <w:b/>
          <w:bCs w:val="0"/>
          <w:sz w:val="32"/>
          <w:szCs w:val="32"/>
        </w:rPr>
        <w:t>产业中，带动农民增收。</w:t>
      </w:r>
      <w:r>
        <w:rPr>
          <w:rFonts w:hint="eastAsia" w:ascii="仿宋" w:hAnsi="仿宋" w:eastAsia="仿宋" w:cs="仿宋"/>
          <w:b w:val="0"/>
          <w:bCs/>
          <w:sz w:val="32"/>
          <w:szCs w:val="32"/>
        </w:rPr>
        <w:t>项目的实施，将改造改善绵竹市农业产业基础设施现状，延伸产业链，促使产业聚集，提升价值链。同时加快推进项目改造升级，完善农业基础设施，拓展农业功能，促进农业销售和培训发展，拓宽农民增收渠道。随着农业产业的不断融合与发展，将进一步改善该地区的招商环境，日益形成产业的集聚效应，源源不断地吸引相关企业加入到这个良好的产业链中，从而提升招商引资层次和水平，企业在谋求最大效益的同时势必会带来更多的税收收入，以此带动绵竹市经济的发展，促进绵竹市经济的发展。 同时依托农业科技碳循环双创融合示范园项目，按照“以农促旅、以农强旅、以旅带农”的思路拓展农业多种功能，发展以</w:t>
      </w:r>
      <w:r>
        <w:rPr>
          <w:rFonts w:hint="eastAsia" w:ascii="仿宋" w:hAnsi="仿宋" w:eastAsia="仿宋" w:cs="仿宋"/>
          <w:b w:val="0"/>
          <w:bCs/>
          <w:sz w:val="32"/>
          <w:szCs w:val="32"/>
          <w:lang w:val="en-US" w:eastAsia="zh-CN"/>
        </w:rPr>
        <w:t>具有当地特色</w:t>
      </w:r>
      <w:r>
        <w:rPr>
          <w:rFonts w:hint="eastAsia" w:ascii="仿宋" w:hAnsi="仿宋" w:eastAsia="仿宋" w:cs="仿宋"/>
          <w:b w:val="0"/>
          <w:bCs/>
          <w:sz w:val="32"/>
          <w:szCs w:val="32"/>
        </w:rPr>
        <w:t>的农旅融合产业，建设农旅融合</w:t>
      </w:r>
      <w:r>
        <w:rPr>
          <w:rFonts w:hint="eastAsia" w:ascii="仿宋" w:hAnsi="仿宋" w:eastAsia="仿宋" w:cs="仿宋"/>
          <w:b w:val="0"/>
          <w:bCs/>
          <w:sz w:val="32"/>
          <w:szCs w:val="32"/>
          <w:lang w:val="en-US" w:eastAsia="zh-CN"/>
        </w:rPr>
        <w:t>示范园</w:t>
      </w:r>
      <w:r>
        <w:rPr>
          <w:rFonts w:hint="eastAsia" w:ascii="仿宋" w:hAnsi="仿宋" w:eastAsia="仿宋" w:cs="仿宋"/>
          <w:b w:val="0"/>
          <w:bCs/>
          <w:sz w:val="32"/>
          <w:szCs w:val="32"/>
        </w:rPr>
        <w:t>开发农业旅游产品，经济效益显著</w:t>
      </w:r>
      <w:r>
        <w:rPr>
          <w:rFonts w:hint="eastAsia" w:ascii="仿宋" w:hAnsi="仿宋" w:eastAsia="仿宋" w:cs="仿宋"/>
          <w:b w:val="0"/>
          <w:bCs/>
          <w:sz w:val="32"/>
          <w:szCs w:val="32"/>
          <w:lang w:eastAsia="zh-CN"/>
        </w:rPr>
        <w:t>。</w:t>
      </w:r>
    </w:p>
    <w:p w14:paraId="5C403A25">
      <w:pPr>
        <w:keepNext w:val="0"/>
        <w:keepLines w:val="0"/>
        <w:pageBreakBefore w:val="0"/>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三、项目投资估算及资金筹措方案</w:t>
      </w:r>
    </w:p>
    <w:p w14:paraId="58624F15">
      <w:pPr>
        <w:keepNext w:val="0"/>
        <w:keepLines w:val="0"/>
        <w:pageBreakBefore w:val="0"/>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（一）投资估算</w:t>
      </w:r>
    </w:p>
    <w:p w14:paraId="07D8BBBB">
      <w:pPr>
        <w:pStyle w:val="3"/>
        <w:pageBreakBefore w:val="0"/>
        <w:kinsoku/>
        <w:wordWrap/>
        <w:overflowPunct/>
        <w:topLinePunct w:val="0"/>
        <w:autoSpaceDE/>
        <w:autoSpaceDN/>
        <w:bidi w:val="0"/>
        <w:spacing w:line="360" w:lineRule="auto"/>
        <w:ind w:firstLine="640" w:firstLineChars="200"/>
        <w:jc w:val="both"/>
        <w:rPr>
          <w:rFonts w:hint="eastAsia" w:ascii="仿宋" w:hAnsi="仿宋" w:eastAsia="仿宋" w:cs="仿宋"/>
          <w:b w:val="0"/>
          <w:bCs w:val="0"/>
          <w:caps w:val="0"/>
          <w:sz w:val="32"/>
          <w:szCs w:val="32"/>
        </w:rPr>
      </w:pPr>
      <w:r>
        <w:rPr>
          <w:rFonts w:hint="eastAsia" w:ascii="仿宋" w:hAnsi="仿宋" w:eastAsia="仿宋" w:cs="仿宋"/>
          <w:b w:val="0"/>
          <w:bCs w:val="0"/>
          <w:caps w:val="0"/>
          <w:sz w:val="32"/>
          <w:szCs w:val="32"/>
        </w:rPr>
        <w:t>项目总投资：项目总投资额估算为</w:t>
      </w:r>
      <w:r>
        <w:rPr>
          <w:rFonts w:hint="eastAsia" w:ascii="仿宋" w:hAnsi="仿宋" w:eastAsia="仿宋" w:cs="仿宋"/>
          <w:color w:val="000000"/>
          <w:sz w:val="32"/>
          <w:szCs w:val="32"/>
          <w:lang w:val="en-US" w:eastAsia="zh-CN" w:bidi="ar"/>
        </w:rPr>
        <w:t>20000</w:t>
      </w:r>
      <w:r>
        <w:rPr>
          <w:rFonts w:hint="eastAsia" w:ascii="仿宋" w:hAnsi="仿宋" w:eastAsia="仿宋" w:cs="仿宋"/>
          <w:b/>
          <w:bCs/>
          <w:caps w:val="0"/>
          <w:sz w:val="32"/>
          <w:szCs w:val="32"/>
        </w:rPr>
        <w:t>万元</w:t>
      </w:r>
      <w:r>
        <w:rPr>
          <w:rFonts w:hint="eastAsia" w:ascii="仿宋" w:hAnsi="仿宋" w:eastAsia="仿宋" w:cs="仿宋"/>
          <w:b w:val="0"/>
          <w:bCs w:val="0"/>
          <w:caps w:val="0"/>
          <w:sz w:val="32"/>
          <w:szCs w:val="32"/>
        </w:rPr>
        <w:t>，项目总投资=建设投资费用+建设期利息+债券发行费用。</w:t>
      </w:r>
    </w:p>
    <w:p w14:paraId="7A788631">
      <w:pPr>
        <w:pStyle w:val="3"/>
        <w:pageBreakBefore w:val="0"/>
        <w:kinsoku/>
        <w:wordWrap/>
        <w:overflowPunct/>
        <w:topLinePunct w:val="0"/>
        <w:autoSpaceDE/>
        <w:autoSpaceDN/>
        <w:bidi w:val="0"/>
        <w:spacing w:line="360" w:lineRule="auto"/>
        <w:ind w:firstLine="640" w:firstLineChars="200"/>
        <w:jc w:val="both"/>
        <w:rPr>
          <w:rFonts w:hint="eastAsia" w:ascii="仿宋" w:hAnsi="仿宋" w:eastAsia="仿宋" w:cs="仿宋"/>
          <w:b w:val="0"/>
          <w:bCs w:val="0"/>
          <w:caps w:val="0"/>
          <w:sz w:val="32"/>
          <w:szCs w:val="32"/>
        </w:rPr>
      </w:pPr>
      <w:r>
        <w:rPr>
          <w:rFonts w:hint="eastAsia" w:ascii="仿宋" w:hAnsi="仿宋" w:eastAsia="仿宋" w:cs="仿宋"/>
          <w:b w:val="0"/>
          <w:bCs w:val="0"/>
          <w:caps w:val="0"/>
          <w:sz w:val="32"/>
          <w:szCs w:val="32"/>
        </w:rPr>
        <w:t>（1）项目建设费用主要包括工程费用、工程建设其他费用、预备费等共计约</w:t>
      </w:r>
      <w:r>
        <w:rPr>
          <w:rFonts w:hint="eastAsia" w:ascii="仿宋" w:hAnsi="仿宋" w:eastAsia="仿宋" w:cs="仿宋"/>
          <w:b/>
          <w:bCs/>
          <w:caps w:val="0"/>
          <w:sz w:val="32"/>
          <w:szCs w:val="32"/>
          <w:highlight w:val="none"/>
          <w:lang w:val="en-US" w:eastAsia="zh-CN"/>
        </w:rPr>
        <w:t>19358</w:t>
      </w:r>
      <w:r>
        <w:rPr>
          <w:rFonts w:hint="eastAsia" w:ascii="仿宋" w:hAnsi="仿宋" w:eastAsia="仿宋" w:cs="仿宋"/>
          <w:b/>
          <w:bCs/>
          <w:caps w:val="0"/>
          <w:sz w:val="32"/>
          <w:szCs w:val="32"/>
          <w:highlight w:val="none"/>
        </w:rPr>
        <w:t>万</w:t>
      </w:r>
      <w:r>
        <w:rPr>
          <w:rFonts w:hint="eastAsia" w:ascii="仿宋" w:hAnsi="仿宋" w:eastAsia="仿宋" w:cs="仿宋"/>
          <w:b/>
          <w:bCs/>
          <w:caps w:val="0"/>
          <w:sz w:val="32"/>
          <w:szCs w:val="32"/>
        </w:rPr>
        <w:t>元</w:t>
      </w:r>
      <w:r>
        <w:rPr>
          <w:rFonts w:hint="eastAsia" w:ascii="仿宋" w:hAnsi="仿宋" w:eastAsia="仿宋" w:cs="仿宋"/>
          <w:b w:val="0"/>
          <w:bCs w:val="0"/>
          <w:caps w:val="0"/>
          <w:sz w:val="32"/>
          <w:szCs w:val="32"/>
        </w:rPr>
        <w:t>；</w:t>
      </w:r>
    </w:p>
    <w:p w14:paraId="678FF08E">
      <w:pPr>
        <w:pStyle w:val="3"/>
        <w:pageBreakBefore w:val="0"/>
        <w:kinsoku/>
        <w:wordWrap/>
        <w:overflowPunct/>
        <w:topLinePunct w:val="0"/>
        <w:autoSpaceDE/>
        <w:autoSpaceDN/>
        <w:bidi w:val="0"/>
        <w:spacing w:line="360" w:lineRule="auto"/>
        <w:ind w:firstLine="640" w:firstLineChars="200"/>
        <w:jc w:val="both"/>
        <w:rPr>
          <w:rFonts w:hint="eastAsia" w:ascii="仿宋" w:hAnsi="仿宋" w:eastAsia="仿宋" w:cs="仿宋"/>
          <w:b w:val="0"/>
          <w:bCs w:val="0"/>
          <w:caps w:val="0"/>
          <w:sz w:val="32"/>
          <w:szCs w:val="32"/>
        </w:rPr>
      </w:pPr>
      <w:r>
        <w:rPr>
          <w:rFonts w:hint="eastAsia" w:ascii="仿宋" w:hAnsi="仿宋" w:eastAsia="仿宋" w:cs="仿宋"/>
          <w:b w:val="0"/>
          <w:bCs w:val="0"/>
          <w:caps w:val="0"/>
          <w:sz w:val="32"/>
          <w:szCs w:val="32"/>
        </w:rPr>
        <w:t>（2）建设期利息和债券</w:t>
      </w:r>
      <w:r>
        <w:rPr>
          <w:rFonts w:hint="eastAsia" w:ascii="仿宋" w:hAnsi="仿宋" w:eastAsia="仿宋" w:cs="仿宋"/>
          <w:b w:val="0"/>
          <w:bCs w:val="0"/>
          <w:caps w:val="0"/>
          <w:sz w:val="32"/>
          <w:szCs w:val="32"/>
          <w:lang w:val="en-US" w:eastAsia="zh-CN"/>
        </w:rPr>
        <w:t>发行</w:t>
      </w:r>
      <w:r>
        <w:rPr>
          <w:rFonts w:hint="eastAsia" w:ascii="仿宋" w:hAnsi="仿宋" w:eastAsia="仿宋" w:cs="仿宋"/>
          <w:b w:val="0"/>
          <w:bCs w:val="0"/>
          <w:caps w:val="0"/>
          <w:sz w:val="32"/>
          <w:szCs w:val="32"/>
        </w:rPr>
        <w:t>费用</w:t>
      </w:r>
      <w:r>
        <w:rPr>
          <w:rFonts w:hint="eastAsia" w:ascii="仿宋" w:hAnsi="仿宋" w:eastAsia="仿宋" w:cs="仿宋"/>
          <w:b w:val="0"/>
          <w:bCs w:val="0"/>
          <w:caps w:val="0"/>
          <w:sz w:val="32"/>
          <w:szCs w:val="32"/>
          <w:highlight w:val="none"/>
        </w:rPr>
        <w:t>分别为</w:t>
      </w:r>
      <w:r>
        <w:rPr>
          <w:rFonts w:hint="eastAsia" w:ascii="仿宋" w:hAnsi="仿宋" w:eastAsia="仿宋" w:cs="仿宋"/>
          <w:b/>
          <w:bCs/>
          <w:caps w:val="0"/>
          <w:sz w:val="32"/>
          <w:szCs w:val="32"/>
          <w:highlight w:val="none"/>
          <w:lang w:val="en-US" w:eastAsia="zh-CN"/>
        </w:rPr>
        <w:t>630</w:t>
      </w:r>
      <w:r>
        <w:rPr>
          <w:rFonts w:hint="eastAsia" w:ascii="仿宋" w:hAnsi="仿宋" w:eastAsia="仿宋" w:cs="仿宋"/>
          <w:b/>
          <w:bCs/>
          <w:caps w:val="0"/>
          <w:sz w:val="32"/>
          <w:szCs w:val="32"/>
        </w:rPr>
        <w:t>万元</w:t>
      </w:r>
      <w:r>
        <w:rPr>
          <w:rFonts w:hint="eastAsia" w:ascii="仿宋" w:hAnsi="仿宋" w:eastAsia="仿宋" w:cs="仿宋"/>
          <w:b w:val="0"/>
          <w:bCs w:val="0"/>
          <w:caps w:val="0"/>
          <w:sz w:val="32"/>
          <w:szCs w:val="32"/>
        </w:rPr>
        <w:t>和</w:t>
      </w:r>
      <w:r>
        <w:rPr>
          <w:rFonts w:hint="eastAsia" w:ascii="仿宋" w:hAnsi="仿宋" w:eastAsia="仿宋" w:cs="仿宋"/>
          <w:b/>
          <w:bCs/>
          <w:caps w:val="0"/>
          <w:sz w:val="32"/>
          <w:szCs w:val="32"/>
          <w:lang w:val="en-US" w:eastAsia="zh-CN"/>
        </w:rPr>
        <w:t>12</w:t>
      </w:r>
      <w:r>
        <w:rPr>
          <w:rFonts w:hint="eastAsia" w:ascii="仿宋" w:hAnsi="仿宋" w:eastAsia="仿宋" w:cs="仿宋"/>
          <w:b/>
          <w:bCs/>
          <w:caps w:val="0"/>
          <w:sz w:val="32"/>
          <w:szCs w:val="32"/>
        </w:rPr>
        <w:t>万元</w:t>
      </w:r>
      <w:r>
        <w:rPr>
          <w:rFonts w:hint="eastAsia" w:ascii="仿宋" w:hAnsi="仿宋" w:eastAsia="仿宋" w:cs="仿宋"/>
          <w:b w:val="0"/>
          <w:bCs w:val="0"/>
          <w:caps w:val="0"/>
          <w:sz w:val="32"/>
          <w:szCs w:val="32"/>
        </w:rPr>
        <w:t>。</w:t>
      </w:r>
    </w:p>
    <w:p w14:paraId="27913B7C">
      <w:pPr>
        <w:pageBreakBefore w:val="0"/>
        <w:kinsoku/>
        <w:wordWrap/>
        <w:overflowPunct/>
        <w:topLinePunct w:val="0"/>
        <w:autoSpaceDE/>
        <w:autoSpaceDN/>
        <w:bidi w:val="0"/>
        <w:spacing w:line="360" w:lineRule="auto"/>
        <w:ind w:firstLine="640" w:firstLineChars="200"/>
        <w:jc w:val="both"/>
        <w:rPr>
          <w:rFonts w:hint="eastAsia" w:ascii="仿宋" w:hAnsi="仿宋" w:eastAsia="仿宋" w:cs="仿宋"/>
          <w:sz w:val="32"/>
          <w:szCs w:val="32"/>
        </w:rPr>
      </w:pPr>
      <w:bookmarkStart w:id="5" w:name="_Toc497498365"/>
      <w:bookmarkStart w:id="6" w:name="_Toc498385059"/>
      <w:bookmarkStart w:id="7" w:name="_Toc498385727"/>
      <w:r>
        <w:rPr>
          <w:rFonts w:hint="eastAsia" w:ascii="仿宋" w:hAnsi="仿宋" w:eastAsia="仿宋" w:cs="仿宋"/>
          <w:sz w:val="32"/>
          <w:szCs w:val="32"/>
        </w:rPr>
        <w:t>根据建设进度与资金需求，本项目20</w:t>
      </w:r>
      <w:r>
        <w:rPr>
          <w:rFonts w:hint="eastAsia" w:ascii="仿宋" w:hAnsi="仿宋" w:eastAsia="仿宋" w:cs="仿宋"/>
          <w:sz w:val="32"/>
          <w:szCs w:val="32"/>
          <w:lang w:val="en-US" w:eastAsia="zh-CN"/>
        </w:rPr>
        <w:t>22</w:t>
      </w:r>
      <w:r>
        <w:rPr>
          <w:rFonts w:hint="eastAsia" w:ascii="仿宋" w:hAnsi="仿宋" w:eastAsia="仿宋" w:cs="仿宋"/>
          <w:sz w:val="32"/>
          <w:szCs w:val="32"/>
        </w:rPr>
        <w:t>-20</w:t>
      </w:r>
      <w:r>
        <w:rPr>
          <w:rFonts w:hint="eastAsia" w:ascii="仿宋" w:hAnsi="仿宋" w:eastAsia="仿宋" w:cs="仿宋"/>
          <w:sz w:val="32"/>
          <w:szCs w:val="32"/>
          <w:lang w:val="en-US" w:eastAsia="zh-CN"/>
        </w:rPr>
        <w:t>23</w:t>
      </w:r>
      <w:r>
        <w:rPr>
          <w:rFonts w:hint="eastAsia" w:ascii="仿宋" w:hAnsi="仿宋" w:eastAsia="仿宋" w:cs="仿宋"/>
          <w:sz w:val="32"/>
          <w:szCs w:val="32"/>
        </w:rPr>
        <w:t>年分期发行</w:t>
      </w:r>
      <w:r>
        <w:rPr>
          <w:rFonts w:hint="eastAsia" w:ascii="仿宋" w:hAnsi="仿宋" w:eastAsia="仿宋" w:cs="仿宋"/>
          <w:sz w:val="32"/>
          <w:szCs w:val="32"/>
          <w:lang w:val="en-US" w:eastAsia="zh-CN"/>
        </w:rPr>
        <w:t>10</w:t>
      </w:r>
      <w:r>
        <w:rPr>
          <w:rFonts w:hint="eastAsia" w:ascii="仿宋" w:hAnsi="仿宋" w:eastAsia="仿宋" w:cs="仿宋"/>
          <w:sz w:val="32"/>
          <w:szCs w:val="32"/>
        </w:rPr>
        <w:t>年期债券，参考2020年四川省政府专项债券（六十三至七十九期）发行结果公告，平均利率为3.35%。其中5年期债券票面利率2.27%，7年期债券票面利率2.8%，10年期债券票面利率2.93%，15年期债券票面利率3.43%，20年期债券票面利率3.55%，30年期债券票面利率3.72%。假设本批次专项债券</w:t>
      </w:r>
      <w:r>
        <w:rPr>
          <w:rFonts w:hint="eastAsia" w:ascii="仿宋" w:hAnsi="仿宋" w:eastAsia="仿宋" w:cs="仿宋"/>
          <w:sz w:val="32"/>
          <w:szCs w:val="32"/>
          <w:lang w:val="en-US" w:eastAsia="zh-CN"/>
        </w:rPr>
        <w:t>10</w:t>
      </w:r>
      <w:r>
        <w:rPr>
          <w:rFonts w:hint="eastAsia" w:ascii="仿宋" w:hAnsi="仿宋" w:eastAsia="仿宋" w:cs="仿宋"/>
          <w:sz w:val="32"/>
          <w:szCs w:val="32"/>
        </w:rPr>
        <w:t>年期票面利率为</w:t>
      </w:r>
      <w:r>
        <w:rPr>
          <w:rFonts w:hint="eastAsia" w:ascii="仿宋" w:hAnsi="仿宋" w:eastAsia="仿宋" w:cs="仿宋"/>
          <w:sz w:val="32"/>
          <w:szCs w:val="32"/>
          <w:lang w:val="en-US" w:eastAsia="zh-CN"/>
        </w:rPr>
        <w:t>3.5</w:t>
      </w:r>
      <w:r>
        <w:rPr>
          <w:rFonts w:hint="eastAsia" w:ascii="仿宋" w:hAnsi="仿宋" w:eastAsia="仿宋" w:cs="仿宋"/>
          <w:sz w:val="32"/>
          <w:szCs w:val="32"/>
        </w:rPr>
        <w:t>％，建设期利息一共</w:t>
      </w:r>
      <w:r>
        <w:rPr>
          <w:rFonts w:hint="eastAsia" w:ascii="仿宋" w:hAnsi="仿宋" w:eastAsia="仿宋" w:cs="仿宋"/>
          <w:b/>
          <w:bCs/>
          <w:sz w:val="32"/>
          <w:szCs w:val="32"/>
          <w:highlight w:val="none"/>
          <w:lang w:val="en-US" w:eastAsia="zh-CN"/>
        </w:rPr>
        <w:t>630</w:t>
      </w:r>
      <w:r>
        <w:rPr>
          <w:rFonts w:hint="eastAsia" w:ascii="仿宋" w:hAnsi="仿宋" w:eastAsia="仿宋" w:cs="仿宋"/>
          <w:b/>
          <w:bCs/>
          <w:sz w:val="32"/>
          <w:szCs w:val="32"/>
          <w:highlight w:val="none"/>
        </w:rPr>
        <w:t>万</w:t>
      </w:r>
      <w:r>
        <w:rPr>
          <w:rFonts w:hint="eastAsia" w:ascii="仿宋" w:hAnsi="仿宋" w:eastAsia="仿宋" w:cs="仿宋"/>
          <w:b/>
          <w:bCs/>
          <w:sz w:val="32"/>
          <w:szCs w:val="32"/>
        </w:rPr>
        <w:t>元</w:t>
      </w:r>
      <w:r>
        <w:rPr>
          <w:rFonts w:hint="eastAsia" w:ascii="仿宋" w:hAnsi="仿宋" w:eastAsia="仿宋" w:cs="仿宋"/>
          <w:sz w:val="32"/>
          <w:szCs w:val="32"/>
        </w:rPr>
        <w:t>。</w:t>
      </w:r>
    </w:p>
    <w:p w14:paraId="4D99075E">
      <w:pPr>
        <w:pageBreakBefore w:val="0"/>
        <w:kinsoku/>
        <w:wordWrap/>
        <w:overflowPunct/>
        <w:topLinePunct w:val="0"/>
        <w:autoSpaceDE/>
        <w:autoSpaceDN/>
        <w:bidi w:val="0"/>
        <w:spacing w:line="360" w:lineRule="auto"/>
        <w:ind w:firstLine="640" w:firstLineChars="200"/>
        <w:jc w:val="both"/>
        <w:rPr>
          <w:rFonts w:hint="eastAsia" w:ascii="仿宋" w:hAnsi="仿宋" w:eastAsia="仿宋" w:cs="仿宋"/>
          <w:b w:val="0"/>
          <w:bCs w:val="0"/>
          <w:caps w:val="0"/>
          <w:kern w:val="2"/>
          <w:sz w:val="30"/>
          <w:szCs w:val="30"/>
          <w:lang w:val="en-US" w:eastAsia="zh-CN" w:bidi="ar-SA"/>
        </w:rPr>
      </w:pPr>
      <w:r>
        <w:rPr>
          <w:rFonts w:hint="eastAsia" w:ascii="仿宋" w:hAnsi="仿宋" w:eastAsia="仿宋" w:cs="仿宋"/>
          <w:sz w:val="32"/>
          <w:szCs w:val="32"/>
        </w:rPr>
        <w:t>根据四川省财政厅关于印发《2018年四川省政府债券公开招标发行兑付办法》的通知（川财库〔2018〕120号）文件，四川省财政厅发行2018年四川省政府债券，向承销团员支付发行费，1年、2年、3年期为发行面值的0.5‰，5年、7年、10年、15年、20年期为发行面值的1‰。本项目拟发行债券期限为</w:t>
      </w:r>
      <w:r>
        <w:rPr>
          <w:rFonts w:hint="eastAsia" w:ascii="仿宋" w:hAnsi="仿宋" w:eastAsia="仿宋" w:cs="仿宋"/>
          <w:sz w:val="32"/>
          <w:szCs w:val="32"/>
          <w:lang w:val="en-US" w:eastAsia="zh-CN"/>
        </w:rPr>
        <w:t>10</w:t>
      </w:r>
      <w:r>
        <w:rPr>
          <w:rFonts w:hint="eastAsia" w:ascii="仿宋" w:hAnsi="仿宋" w:eastAsia="仿宋" w:cs="仿宋"/>
          <w:sz w:val="32"/>
          <w:szCs w:val="32"/>
        </w:rPr>
        <w:t>年，根据上述文件的规定，债券发行成本暂按发债额的1‰计算，故本项目债券发行费用为</w:t>
      </w:r>
      <w:r>
        <w:rPr>
          <w:rFonts w:hint="eastAsia" w:ascii="仿宋" w:hAnsi="仿宋" w:eastAsia="仿宋" w:cs="仿宋"/>
          <w:b/>
          <w:bCs/>
          <w:caps/>
          <w:sz w:val="32"/>
          <w:szCs w:val="32"/>
          <w:highlight w:val="none"/>
          <w:lang w:val="en-US" w:eastAsia="zh-CN"/>
        </w:rPr>
        <w:t>12</w:t>
      </w:r>
      <w:r>
        <w:rPr>
          <w:rFonts w:hint="eastAsia" w:ascii="仿宋" w:hAnsi="仿宋" w:eastAsia="仿宋" w:cs="仿宋"/>
          <w:b/>
          <w:bCs/>
          <w:sz w:val="32"/>
          <w:szCs w:val="32"/>
        </w:rPr>
        <w:t>万元</w:t>
      </w:r>
      <w:r>
        <w:rPr>
          <w:rFonts w:hint="eastAsia" w:ascii="仿宋" w:hAnsi="仿宋" w:eastAsia="仿宋" w:cs="仿宋"/>
          <w:sz w:val="32"/>
          <w:szCs w:val="32"/>
        </w:rPr>
        <w:t>。</w:t>
      </w:r>
      <w:bookmarkEnd w:id="5"/>
      <w:bookmarkEnd w:id="6"/>
      <w:bookmarkEnd w:id="7"/>
    </w:p>
    <w:p w14:paraId="42032A38">
      <w:pPr>
        <w:keepNext w:val="0"/>
        <w:keepLines w:val="0"/>
        <w:pageBreakBefore w:val="0"/>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（二）资金筹措方案</w:t>
      </w:r>
    </w:p>
    <w:p w14:paraId="0CA97247">
      <w:pPr>
        <w:keepNext w:val="0"/>
        <w:keepLines w:val="0"/>
        <w:pageBreakBefore w:val="0"/>
        <w:kinsoku/>
        <w:wordWrap/>
        <w:overflowPunct/>
        <w:topLinePunct w:val="0"/>
        <w:autoSpaceDE/>
        <w:autoSpaceDN/>
        <w:bidi w:val="0"/>
        <w:spacing w:line="360" w:lineRule="auto"/>
        <w:ind w:firstLine="522" w:firstLineChars="200"/>
        <w:textAlignment w:val="auto"/>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1.资金筹集情况</w:t>
      </w:r>
    </w:p>
    <w:p w14:paraId="611002B2">
      <w:pPr>
        <w:pStyle w:val="2"/>
        <w:pageBreakBefore w:val="0"/>
        <w:kinsoku/>
        <w:wordWrap/>
        <w:overflowPunct/>
        <w:topLinePunct w:val="0"/>
        <w:autoSpaceDE/>
        <w:autoSpaceDN/>
        <w:bidi w:val="0"/>
        <w:spacing w:before="156" w:beforeLines="50" w:after="156" w:afterLines="50" w:line="360" w:lineRule="auto"/>
        <w:ind w:firstLine="640" w:firstLineChars="200"/>
        <w:jc w:val="both"/>
        <w:rPr>
          <w:rFonts w:hint="eastAsia" w:ascii="仿宋" w:hAnsi="仿宋" w:eastAsia="仿宋" w:cs="仿宋"/>
          <w:kern w:val="2"/>
          <w:sz w:val="32"/>
          <w:szCs w:val="32"/>
          <w:highlight w:val="none"/>
          <w:lang w:val="en-US"/>
        </w:rPr>
      </w:pPr>
      <w:r>
        <w:rPr>
          <w:rFonts w:hint="eastAsia" w:ascii="仿宋" w:hAnsi="仿宋" w:eastAsia="仿宋" w:cs="仿宋"/>
          <w:kern w:val="2"/>
          <w:sz w:val="32"/>
          <w:szCs w:val="32"/>
          <w:highlight w:val="none"/>
          <w:lang w:val="en-US"/>
        </w:rPr>
        <w:t>本项目总投资</w:t>
      </w:r>
      <w:r>
        <w:rPr>
          <w:rFonts w:hint="eastAsia" w:ascii="仿宋" w:hAnsi="仿宋" w:eastAsia="仿宋" w:cs="仿宋"/>
          <w:color w:val="000000"/>
          <w:sz w:val="32"/>
          <w:szCs w:val="32"/>
          <w:lang w:val="en-US" w:eastAsia="zh-CN" w:bidi="ar"/>
        </w:rPr>
        <w:t>20000</w:t>
      </w:r>
      <w:r>
        <w:rPr>
          <w:rFonts w:hint="eastAsia" w:ascii="仿宋" w:hAnsi="仿宋" w:eastAsia="仿宋" w:cs="仿宋"/>
          <w:kern w:val="2"/>
          <w:sz w:val="32"/>
          <w:szCs w:val="32"/>
          <w:highlight w:val="none"/>
          <w:lang w:val="en-US" w:eastAsia="zh-CN"/>
        </w:rPr>
        <w:t>万元</w:t>
      </w:r>
      <w:r>
        <w:rPr>
          <w:rFonts w:hint="eastAsia" w:ascii="仿宋" w:hAnsi="仿宋" w:eastAsia="仿宋" w:cs="仿宋"/>
          <w:kern w:val="2"/>
          <w:sz w:val="32"/>
          <w:szCs w:val="32"/>
          <w:highlight w:val="none"/>
          <w:lang w:val="en-US"/>
        </w:rPr>
        <w:t>，其中资本金</w:t>
      </w:r>
      <w:r>
        <w:rPr>
          <w:rFonts w:hint="eastAsia" w:ascii="仿宋" w:hAnsi="仿宋" w:eastAsia="仿宋" w:cs="仿宋"/>
          <w:kern w:val="2"/>
          <w:sz w:val="32"/>
          <w:szCs w:val="32"/>
          <w:highlight w:val="none"/>
          <w:lang w:val="en-US" w:eastAsia="zh-CN"/>
        </w:rPr>
        <w:t>8000万元</w:t>
      </w:r>
      <w:r>
        <w:rPr>
          <w:rFonts w:hint="eastAsia" w:ascii="仿宋" w:hAnsi="仿宋" w:eastAsia="仿宋" w:cs="仿宋"/>
          <w:kern w:val="2"/>
          <w:sz w:val="32"/>
          <w:szCs w:val="32"/>
          <w:highlight w:val="none"/>
          <w:lang w:val="en-US"/>
        </w:rPr>
        <w:t>，</w:t>
      </w:r>
      <w:r>
        <w:rPr>
          <w:rFonts w:hint="eastAsia" w:ascii="仿宋" w:hAnsi="仿宋" w:eastAsia="仿宋" w:cs="仿宋"/>
          <w:kern w:val="2"/>
          <w:sz w:val="32"/>
          <w:szCs w:val="32"/>
          <w:highlight w:val="none"/>
          <w:lang w:val="en-US" w:eastAsia="zh-CN"/>
        </w:rPr>
        <w:t>专项债券</w:t>
      </w:r>
      <w:r>
        <w:rPr>
          <w:rFonts w:hint="eastAsia" w:ascii="仿宋" w:hAnsi="仿宋" w:eastAsia="仿宋" w:cs="仿宋"/>
          <w:kern w:val="2"/>
          <w:sz w:val="32"/>
          <w:szCs w:val="32"/>
          <w:highlight w:val="none"/>
          <w:lang w:val="en-US"/>
        </w:rPr>
        <w:t>融资</w:t>
      </w:r>
      <w:r>
        <w:rPr>
          <w:rFonts w:hint="eastAsia" w:ascii="仿宋" w:hAnsi="仿宋" w:eastAsia="仿宋" w:cs="仿宋"/>
          <w:kern w:val="2"/>
          <w:sz w:val="32"/>
          <w:szCs w:val="32"/>
          <w:highlight w:val="none"/>
          <w:lang w:val="en-US" w:eastAsia="zh-CN"/>
        </w:rPr>
        <w:t>12000万元</w:t>
      </w:r>
      <w:r>
        <w:rPr>
          <w:rFonts w:hint="eastAsia" w:ascii="仿宋" w:hAnsi="仿宋" w:eastAsia="仿宋" w:cs="仿宋"/>
          <w:kern w:val="2"/>
          <w:sz w:val="32"/>
          <w:szCs w:val="32"/>
          <w:highlight w:val="none"/>
          <w:lang w:val="en-US"/>
        </w:rPr>
        <w:t>。</w:t>
      </w:r>
    </w:p>
    <w:p w14:paraId="0CDC199D">
      <w:pPr>
        <w:keepNext w:val="0"/>
        <w:keepLines w:val="0"/>
        <w:pageBreakBefore w:val="0"/>
        <w:kinsoku/>
        <w:wordWrap/>
        <w:overflowPunct/>
        <w:topLinePunct w:val="0"/>
        <w:autoSpaceDE/>
        <w:autoSpaceDN/>
        <w:bidi w:val="0"/>
        <w:spacing w:line="360" w:lineRule="auto"/>
        <w:ind w:firstLine="643" w:firstLineChars="200"/>
        <w:textAlignment w:val="auto"/>
        <w:rPr>
          <w:rFonts w:hint="eastAsia" w:ascii="仿宋" w:hAnsi="仿宋" w:eastAsia="仿宋" w:cs="仿宋"/>
          <w:kern w:val="2"/>
          <w:sz w:val="32"/>
          <w:szCs w:val="32"/>
          <w:lang w:val="en-US" w:eastAsia="zh-CN"/>
        </w:rPr>
      </w:pPr>
      <w:r>
        <w:rPr>
          <w:rFonts w:hint="eastAsia" w:ascii="仿宋" w:hAnsi="仿宋" w:eastAsia="仿宋" w:cs="仿宋"/>
          <w:b/>
          <w:kern w:val="2"/>
          <w:sz w:val="32"/>
          <w:szCs w:val="32"/>
          <w:highlight w:val="none"/>
          <w:lang w:val="en-US"/>
        </w:rPr>
        <w:t>资本金来源：</w:t>
      </w:r>
      <w:r>
        <w:rPr>
          <w:rFonts w:hint="eastAsia" w:ascii="仿宋" w:hAnsi="仿宋" w:eastAsia="仿宋" w:cs="仿宋"/>
          <w:kern w:val="2"/>
          <w:sz w:val="32"/>
          <w:szCs w:val="32"/>
          <w:lang w:val="en-US"/>
        </w:rPr>
        <w:t>资本金</w:t>
      </w:r>
      <w:r>
        <w:rPr>
          <w:rFonts w:hint="eastAsia" w:ascii="仿宋" w:hAnsi="仿宋" w:eastAsia="仿宋" w:cs="仿宋"/>
          <w:kern w:val="2"/>
          <w:sz w:val="32"/>
          <w:szCs w:val="32"/>
          <w:lang w:val="en-US" w:eastAsia="zh-CN"/>
        </w:rPr>
        <w:t>8000</w:t>
      </w:r>
      <w:r>
        <w:rPr>
          <w:rFonts w:hint="eastAsia" w:ascii="仿宋" w:hAnsi="仿宋" w:eastAsia="仿宋" w:cs="仿宋"/>
          <w:kern w:val="2"/>
          <w:sz w:val="32"/>
          <w:szCs w:val="32"/>
          <w:lang w:val="en-US"/>
        </w:rPr>
        <w:t>万元</w:t>
      </w:r>
      <w:r>
        <w:rPr>
          <w:rFonts w:hint="eastAsia" w:ascii="仿宋" w:hAnsi="仿宋" w:eastAsia="仿宋" w:cs="仿宋"/>
          <w:kern w:val="2"/>
          <w:sz w:val="32"/>
          <w:szCs w:val="32"/>
          <w:lang w:val="en-US" w:eastAsia="zh-CN"/>
        </w:rPr>
        <w:t>来源于财政预算资金及企业自有资金等，能够覆盖项目建设期利息和债券发行费用。自有资本金按照项目实际实施及资金使用情况拨付到位。</w:t>
      </w:r>
    </w:p>
    <w:p w14:paraId="7E8F040A">
      <w:pPr>
        <w:keepNext w:val="0"/>
        <w:keepLines w:val="0"/>
        <w:pageBreakBefore w:val="0"/>
        <w:kinsoku/>
        <w:wordWrap/>
        <w:overflowPunct/>
        <w:topLinePunct w:val="0"/>
        <w:autoSpaceDE/>
        <w:autoSpaceDN/>
        <w:bidi w:val="0"/>
        <w:spacing w:line="360" w:lineRule="auto"/>
        <w:ind w:firstLine="522" w:firstLineChars="200"/>
        <w:textAlignment w:val="auto"/>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2.资金使用计划</w:t>
      </w:r>
    </w:p>
    <w:p w14:paraId="26AE9CF3">
      <w:pPr>
        <w:pStyle w:val="2"/>
        <w:pageBreakBefore w:val="0"/>
        <w:kinsoku/>
        <w:wordWrap/>
        <w:overflowPunct/>
        <w:topLinePunct w:val="0"/>
        <w:autoSpaceDE/>
        <w:autoSpaceDN/>
        <w:bidi w:val="0"/>
        <w:spacing w:before="156" w:beforeLines="50" w:after="156" w:afterLines="50" w:line="360" w:lineRule="auto"/>
        <w:ind w:firstLine="640" w:firstLineChars="200"/>
        <w:jc w:val="both"/>
        <w:rPr>
          <w:rFonts w:hint="eastAsia" w:ascii="仿宋" w:hAnsi="仿宋" w:eastAsia="仿宋" w:cs="仿宋"/>
          <w:kern w:val="2"/>
          <w:sz w:val="32"/>
          <w:szCs w:val="32"/>
          <w:lang w:val="en-US" w:eastAsia="zh-CN"/>
        </w:rPr>
      </w:pPr>
      <w:r>
        <w:rPr>
          <w:rFonts w:hint="eastAsia" w:ascii="仿宋" w:hAnsi="仿宋" w:eastAsia="仿宋" w:cs="仿宋"/>
          <w:kern w:val="2"/>
          <w:sz w:val="32"/>
          <w:szCs w:val="32"/>
          <w:lang w:val="en-US" w:eastAsia="zh-CN"/>
        </w:rPr>
        <w:t>本项目建设期2年，拟按照50%，50%，的建设计划进行施工建设。</w:t>
      </w:r>
    </w:p>
    <w:p w14:paraId="243031E2">
      <w:pPr>
        <w:pStyle w:val="13"/>
        <w:keepNext w:val="0"/>
        <w:keepLines w:val="0"/>
        <w:pageBreakBefore w:val="0"/>
        <w:kinsoku/>
        <w:wordWrap/>
        <w:overflowPunct/>
        <w:topLinePunct w:val="0"/>
        <w:autoSpaceDE/>
        <w:autoSpaceDN/>
        <w:bidi w:val="0"/>
        <w:spacing w:line="360" w:lineRule="auto"/>
        <w:ind w:firstLine="6" w:firstLineChars="2"/>
        <w:jc w:val="center"/>
        <w:textAlignment w:val="auto"/>
        <w:rPr>
          <w:rFonts w:hint="eastAsia" w:ascii="仿宋" w:hAnsi="仿宋" w:eastAsia="仿宋" w:cs="仿宋"/>
          <w:b/>
          <w:color w:val="000000" w:themeColor="text1"/>
          <w:kern w:val="0"/>
          <w:sz w:val="30"/>
          <w:szCs w:val="30"/>
          <w14:textFill>
            <w14:solidFill>
              <w14:schemeClr w14:val="tx1"/>
            </w14:solidFill>
          </w14:textFill>
        </w:rPr>
      </w:pPr>
    </w:p>
    <w:p w14:paraId="5DFD415B">
      <w:pPr>
        <w:pStyle w:val="13"/>
        <w:keepNext w:val="0"/>
        <w:keepLines w:val="0"/>
        <w:pageBreakBefore w:val="0"/>
        <w:kinsoku/>
        <w:wordWrap/>
        <w:overflowPunct/>
        <w:topLinePunct w:val="0"/>
        <w:autoSpaceDE/>
        <w:autoSpaceDN/>
        <w:bidi w:val="0"/>
        <w:spacing w:line="360" w:lineRule="auto"/>
        <w:ind w:firstLine="6" w:firstLineChars="2"/>
        <w:jc w:val="center"/>
        <w:textAlignment w:val="auto"/>
        <w:rPr>
          <w:rFonts w:hint="eastAsia" w:ascii="仿宋" w:hAnsi="仿宋" w:eastAsia="仿宋" w:cs="仿宋"/>
          <w:b/>
          <w:color w:val="000000" w:themeColor="text1"/>
          <w:kern w:val="0"/>
          <w:sz w:val="30"/>
          <w:szCs w:val="30"/>
          <w14:textFill>
            <w14:solidFill>
              <w14:schemeClr w14:val="tx1"/>
            </w14:solidFill>
          </w14:textFill>
        </w:rPr>
      </w:pPr>
    </w:p>
    <w:p w14:paraId="5D8B1549">
      <w:pPr>
        <w:pStyle w:val="13"/>
        <w:keepNext w:val="0"/>
        <w:keepLines w:val="0"/>
        <w:pageBreakBefore w:val="0"/>
        <w:kinsoku/>
        <w:wordWrap/>
        <w:overflowPunct/>
        <w:topLinePunct w:val="0"/>
        <w:autoSpaceDE/>
        <w:autoSpaceDN/>
        <w:bidi w:val="0"/>
        <w:spacing w:line="360" w:lineRule="auto"/>
        <w:ind w:firstLine="6" w:firstLineChars="2"/>
        <w:jc w:val="center"/>
        <w:textAlignment w:val="auto"/>
        <w:rPr>
          <w:rFonts w:hint="eastAsia" w:ascii="仿宋" w:hAnsi="仿宋" w:eastAsia="仿宋" w:cs="仿宋"/>
          <w:b/>
          <w:color w:val="000000" w:themeColor="text1"/>
          <w:kern w:val="0"/>
          <w:sz w:val="30"/>
          <w:szCs w:val="30"/>
          <w14:textFill>
            <w14:solidFill>
              <w14:schemeClr w14:val="tx1"/>
            </w14:solidFill>
          </w14:textFill>
        </w:rPr>
      </w:pPr>
    </w:p>
    <w:p w14:paraId="40CA0209">
      <w:pPr>
        <w:pageBreakBefore w:val="0"/>
        <w:kinsoku/>
        <w:wordWrap/>
        <w:overflowPunct/>
        <w:topLinePunct w:val="0"/>
        <w:autoSpaceDE/>
        <w:autoSpaceDN/>
        <w:bidi w:val="0"/>
        <w:spacing w:line="360" w:lineRule="auto"/>
        <w:rPr>
          <w:rFonts w:hint="eastAsia" w:ascii="仿宋" w:hAnsi="仿宋" w:eastAsia="仿宋" w:cs="仿宋"/>
          <w:b/>
          <w:color w:val="000000" w:themeColor="text1"/>
          <w:kern w:val="0"/>
          <w:sz w:val="30"/>
          <w:szCs w:val="30"/>
          <w14:textFill>
            <w14:solidFill>
              <w14:schemeClr w14:val="tx1"/>
            </w14:solidFill>
          </w14:textFill>
        </w:rPr>
      </w:pPr>
      <w:r>
        <w:rPr>
          <w:rFonts w:hint="eastAsia" w:ascii="仿宋" w:hAnsi="仿宋" w:eastAsia="仿宋" w:cs="仿宋"/>
          <w:b/>
          <w:color w:val="000000" w:themeColor="text1"/>
          <w:kern w:val="0"/>
          <w:sz w:val="30"/>
          <w:szCs w:val="30"/>
          <w14:textFill>
            <w14:solidFill>
              <w14:schemeClr w14:val="tx1"/>
            </w14:solidFill>
          </w14:textFill>
        </w:rPr>
        <w:br w:type="page"/>
      </w:r>
    </w:p>
    <w:p w14:paraId="26C2D0CC">
      <w:pPr>
        <w:pStyle w:val="13"/>
        <w:keepNext w:val="0"/>
        <w:keepLines w:val="0"/>
        <w:pageBreakBefore w:val="0"/>
        <w:kinsoku/>
        <w:wordWrap/>
        <w:overflowPunct/>
        <w:topLinePunct w:val="0"/>
        <w:autoSpaceDE/>
        <w:autoSpaceDN/>
        <w:bidi w:val="0"/>
        <w:spacing w:line="360" w:lineRule="auto"/>
        <w:ind w:firstLine="6" w:firstLineChars="2"/>
        <w:jc w:val="center"/>
        <w:textAlignment w:val="auto"/>
        <w:rPr>
          <w:rFonts w:hint="eastAsia" w:ascii="仿宋" w:hAnsi="仿宋" w:eastAsia="仿宋" w:cs="仿宋"/>
          <w:b/>
          <w:color w:val="000000" w:themeColor="text1"/>
          <w:kern w:val="0"/>
          <w:sz w:val="30"/>
          <w:szCs w:val="30"/>
          <w14:textFill>
            <w14:solidFill>
              <w14:schemeClr w14:val="tx1"/>
            </w14:solidFill>
          </w14:textFill>
        </w:rPr>
      </w:pPr>
      <w:r>
        <w:rPr>
          <w:rFonts w:hint="eastAsia" w:ascii="仿宋" w:hAnsi="仿宋" w:eastAsia="仿宋" w:cs="仿宋"/>
          <w:b/>
          <w:color w:val="000000" w:themeColor="text1"/>
          <w:kern w:val="0"/>
          <w:sz w:val="30"/>
          <w:szCs w:val="30"/>
          <w14:textFill>
            <w14:solidFill>
              <w14:schemeClr w14:val="tx1"/>
            </w14:solidFill>
          </w14:textFill>
        </w:rPr>
        <w:t>建设期资金来源及使用计划表 单位：万元</w:t>
      </w:r>
    </w:p>
    <w:tbl>
      <w:tblPr>
        <w:tblStyle w:val="14"/>
        <w:tblW w:w="4999"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465"/>
        <w:gridCol w:w="2151"/>
        <w:gridCol w:w="1952"/>
        <w:gridCol w:w="1952"/>
      </w:tblGrid>
      <w:tr w14:paraId="434EE1A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465" w:type="dxa"/>
            <w:tcBorders>
              <w:top w:val="single" w:color="000000" w:sz="4" w:space="0"/>
              <w:left w:val="single" w:color="000000" w:sz="4" w:space="0"/>
              <w:bottom w:val="single" w:color="000000" w:sz="4" w:space="0"/>
              <w:right w:val="single" w:color="000000" w:sz="4" w:space="0"/>
            </w:tcBorders>
            <w:shd w:val="clear" w:color="auto" w:fill="BEBEBE"/>
            <w:vAlign w:val="center"/>
          </w:tcPr>
          <w:p w14:paraId="331F797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w:t>
            </w:r>
          </w:p>
        </w:tc>
        <w:tc>
          <w:tcPr>
            <w:tcW w:w="2151" w:type="dxa"/>
            <w:tcBorders>
              <w:top w:val="single" w:color="000000" w:sz="4" w:space="0"/>
              <w:left w:val="single" w:color="000000" w:sz="4" w:space="0"/>
              <w:bottom w:val="single" w:color="000000" w:sz="4" w:space="0"/>
              <w:right w:val="single" w:color="000000" w:sz="4" w:space="0"/>
            </w:tcBorders>
            <w:shd w:val="clear" w:color="auto" w:fill="BEBEBE"/>
            <w:vAlign w:val="center"/>
          </w:tcPr>
          <w:p w14:paraId="4D4CD66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合计</w:t>
            </w:r>
          </w:p>
        </w:tc>
        <w:tc>
          <w:tcPr>
            <w:tcW w:w="1952" w:type="dxa"/>
            <w:tcBorders>
              <w:top w:val="single" w:color="000000" w:sz="4" w:space="0"/>
              <w:left w:val="single" w:color="000000" w:sz="4" w:space="0"/>
              <w:bottom w:val="single" w:color="000000" w:sz="4" w:space="0"/>
              <w:right w:val="single" w:color="000000" w:sz="4" w:space="0"/>
            </w:tcBorders>
            <w:shd w:val="clear" w:color="auto" w:fill="BEBEBE"/>
            <w:vAlign w:val="center"/>
          </w:tcPr>
          <w:p w14:paraId="55E5A39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第一年</w:t>
            </w:r>
          </w:p>
        </w:tc>
        <w:tc>
          <w:tcPr>
            <w:tcW w:w="1952" w:type="dxa"/>
            <w:tcBorders>
              <w:top w:val="single" w:color="000000" w:sz="4" w:space="0"/>
              <w:left w:val="single" w:color="000000" w:sz="4" w:space="0"/>
              <w:bottom w:val="single" w:color="000000" w:sz="4" w:space="0"/>
              <w:right w:val="single" w:color="000000" w:sz="4" w:space="0"/>
            </w:tcBorders>
            <w:shd w:val="clear" w:color="auto" w:fill="BEBEBE"/>
            <w:vAlign w:val="center"/>
          </w:tcPr>
          <w:p w14:paraId="6125BCA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第二年</w:t>
            </w:r>
          </w:p>
        </w:tc>
      </w:tr>
      <w:tr w14:paraId="208DF2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5191A4C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投资进度</w:t>
            </w:r>
          </w:p>
        </w:tc>
        <w:tc>
          <w:tcPr>
            <w:tcW w:w="2151" w:type="dxa"/>
            <w:tcBorders>
              <w:top w:val="single" w:color="000000" w:sz="4" w:space="0"/>
              <w:left w:val="single" w:color="000000" w:sz="4" w:space="0"/>
              <w:bottom w:val="single" w:color="000000" w:sz="4" w:space="0"/>
              <w:right w:val="single" w:color="000000" w:sz="4" w:space="0"/>
            </w:tcBorders>
            <w:vAlign w:val="center"/>
          </w:tcPr>
          <w:p w14:paraId="078C7DA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100.00%</w:t>
            </w:r>
          </w:p>
        </w:tc>
        <w:tc>
          <w:tcPr>
            <w:tcW w:w="1952" w:type="dxa"/>
            <w:tcBorders>
              <w:top w:val="single" w:color="000000" w:sz="4" w:space="0"/>
              <w:left w:val="single" w:color="000000" w:sz="4" w:space="0"/>
              <w:bottom w:val="single" w:color="000000" w:sz="4" w:space="0"/>
              <w:right w:val="single" w:color="000000" w:sz="4" w:space="0"/>
            </w:tcBorders>
            <w:vAlign w:val="center"/>
          </w:tcPr>
          <w:p w14:paraId="2B0227A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50.00%</w:t>
            </w:r>
          </w:p>
        </w:tc>
        <w:tc>
          <w:tcPr>
            <w:tcW w:w="1952" w:type="dxa"/>
            <w:tcBorders>
              <w:top w:val="single" w:color="000000" w:sz="4" w:space="0"/>
              <w:left w:val="single" w:color="000000" w:sz="4" w:space="0"/>
              <w:bottom w:val="single" w:color="000000" w:sz="4" w:space="0"/>
              <w:right w:val="single" w:color="000000" w:sz="4" w:space="0"/>
            </w:tcBorders>
            <w:vAlign w:val="center"/>
          </w:tcPr>
          <w:p w14:paraId="38D486B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50.00%</w:t>
            </w:r>
          </w:p>
        </w:tc>
      </w:tr>
      <w:tr w14:paraId="7BA679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45216CB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一、投资</w:t>
            </w:r>
          </w:p>
        </w:tc>
        <w:tc>
          <w:tcPr>
            <w:tcW w:w="2151" w:type="dxa"/>
            <w:tcBorders>
              <w:top w:val="single" w:color="000000" w:sz="4" w:space="0"/>
              <w:left w:val="single" w:color="000000" w:sz="4" w:space="0"/>
              <w:bottom w:val="single" w:color="000000" w:sz="4" w:space="0"/>
              <w:right w:val="single" w:color="000000" w:sz="4" w:space="0"/>
            </w:tcBorders>
            <w:vAlign w:val="center"/>
          </w:tcPr>
          <w:p w14:paraId="7EFC55E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w:t>
            </w:r>
          </w:p>
        </w:tc>
        <w:tc>
          <w:tcPr>
            <w:tcW w:w="1952" w:type="dxa"/>
            <w:tcBorders>
              <w:top w:val="single" w:color="000000" w:sz="4" w:space="0"/>
              <w:left w:val="single" w:color="000000" w:sz="4" w:space="0"/>
              <w:bottom w:val="single" w:color="000000" w:sz="4" w:space="0"/>
              <w:right w:val="single" w:color="000000" w:sz="4" w:space="0"/>
            </w:tcBorders>
            <w:vAlign w:val="center"/>
          </w:tcPr>
          <w:p w14:paraId="5F7C783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w:t>
            </w:r>
          </w:p>
        </w:tc>
        <w:tc>
          <w:tcPr>
            <w:tcW w:w="1952" w:type="dxa"/>
            <w:tcBorders>
              <w:top w:val="single" w:color="000000" w:sz="4" w:space="0"/>
              <w:left w:val="single" w:color="000000" w:sz="4" w:space="0"/>
              <w:bottom w:val="single" w:color="000000" w:sz="4" w:space="0"/>
              <w:right w:val="single" w:color="000000" w:sz="4" w:space="0"/>
            </w:tcBorders>
            <w:vAlign w:val="center"/>
          </w:tcPr>
          <w:p w14:paraId="5E4560D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w:t>
            </w:r>
          </w:p>
        </w:tc>
      </w:tr>
      <w:tr w14:paraId="1A40DF1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7BA59C5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（一）建设投资</w:t>
            </w:r>
          </w:p>
        </w:tc>
        <w:tc>
          <w:tcPr>
            <w:tcW w:w="2151" w:type="dxa"/>
            <w:tcBorders>
              <w:top w:val="single" w:color="000000" w:sz="4" w:space="0"/>
              <w:left w:val="single" w:color="000000" w:sz="4" w:space="0"/>
              <w:bottom w:val="single" w:color="000000" w:sz="4" w:space="0"/>
              <w:right w:val="single" w:color="000000" w:sz="4" w:space="0"/>
            </w:tcBorders>
            <w:vAlign w:val="center"/>
          </w:tcPr>
          <w:p w14:paraId="59D0CC1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19,358.00</w:t>
            </w:r>
          </w:p>
        </w:tc>
        <w:tc>
          <w:tcPr>
            <w:tcW w:w="1952" w:type="dxa"/>
            <w:tcBorders>
              <w:top w:val="single" w:color="000000" w:sz="4" w:space="0"/>
              <w:left w:val="single" w:color="000000" w:sz="4" w:space="0"/>
              <w:bottom w:val="single" w:color="000000" w:sz="4" w:space="0"/>
              <w:right w:val="single" w:color="000000" w:sz="4" w:space="0"/>
            </w:tcBorders>
            <w:vAlign w:val="center"/>
          </w:tcPr>
          <w:p w14:paraId="77B3CBD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9,784.00</w:t>
            </w:r>
          </w:p>
        </w:tc>
        <w:tc>
          <w:tcPr>
            <w:tcW w:w="1952" w:type="dxa"/>
            <w:tcBorders>
              <w:top w:val="single" w:color="000000" w:sz="4" w:space="0"/>
              <w:left w:val="single" w:color="000000" w:sz="4" w:space="0"/>
              <w:bottom w:val="single" w:color="000000" w:sz="4" w:space="0"/>
              <w:right w:val="single" w:color="000000" w:sz="4" w:space="0"/>
            </w:tcBorders>
            <w:vAlign w:val="center"/>
          </w:tcPr>
          <w:p w14:paraId="17D9949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9,574.00</w:t>
            </w:r>
          </w:p>
        </w:tc>
      </w:tr>
      <w:tr w14:paraId="77325CA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63B279B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1、工程费用</w:t>
            </w:r>
          </w:p>
        </w:tc>
        <w:tc>
          <w:tcPr>
            <w:tcW w:w="2151" w:type="dxa"/>
            <w:tcBorders>
              <w:top w:val="single" w:color="000000" w:sz="4" w:space="0"/>
              <w:left w:val="single" w:color="000000" w:sz="4" w:space="0"/>
              <w:bottom w:val="single" w:color="000000" w:sz="4" w:space="0"/>
              <w:right w:val="single" w:color="000000" w:sz="4" w:space="0"/>
            </w:tcBorders>
            <w:vAlign w:val="center"/>
          </w:tcPr>
          <w:p w14:paraId="2F20926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16,581.55</w:t>
            </w:r>
          </w:p>
        </w:tc>
        <w:tc>
          <w:tcPr>
            <w:tcW w:w="1952" w:type="dxa"/>
            <w:tcBorders>
              <w:top w:val="single" w:color="000000" w:sz="4" w:space="0"/>
              <w:left w:val="single" w:color="000000" w:sz="4" w:space="0"/>
              <w:bottom w:val="single" w:color="000000" w:sz="4" w:space="0"/>
              <w:right w:val="single" w:color="000000" w:sz="4" w:space="0"/>
            </w:tcBorders>
            <w:vAlign w:val="center"/>
          </w:tcPr>
          <w:p w14:paraId="30987CF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8,380.72</w:t>
            </w:r>
          </w:p>
        </w:tc>
        <w:tc>
          <w:tcPr>
            <w:tcW w:w="1952" w:type="dxa"/>
            <w:tcBorders>
              <w:top w:val="single" w:color="000000" w:sz="4" w:space="0"/>
              <w:left w:val="single" w:color="000000" w:sz="4" w:space="0"/>
              <w:bottom w:val="single" w:color="000000" w:sz="4" w:space="0"/>
              <w:right w:val="single" w:color="000000" w:sz="4" w:space="0"/>
            </w:tcBorders>
            <w:vAlign w:val="center"/>
          </w:tcPr>
          <w:p w14:paraId="0676A8F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8,200.83</w:t>
            </w:r>
          </w:p>
        </w:tc>
      </w:tr>
      <w:tr w14:paraId="12E2ACB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62E224A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（1）建筑安装工程</w:t>
            </w:r>
          </w:p>
        </w:tc>
        <w:tc>
          <w:tcPr>
            <w:tcW w:w="2151" w:type="dxa"/>
            <w:tcBorders>
              <w:top w:val="single" w:color="000000" w:sz="4" w:space="0"/>
              <w:left w:val="single" w:color="000000" w:sz="4" w:space="0"/>
              <w:bottom w:val="single" w:color="000000" w:sz="4" w:space="0"/>
              <w:right w:val="single" w:color="000000" w:sz="4" w:space="0"/>
            </w:tcBorders>
            <w:vAlign w:val="center"/>
          </w:tcPr>
          <w:p w14:paraId="335D7D4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13,606.06</w:t>
            </w:r>
          </w:p>
        </w:tc>
        <w:tc>
          <w:tcPr>
            <w:tcW w:w="1952" w:type="dxa"/>
            <w:tcBorders>
              <w:top w:val="single" w:color="000000" w:sz="4" w:space="0"/>
              <w:left w:val="single" w:color="000000" w:sz="4" w:space="0"/>
              <w:bottom w:val="single" w:color="000000" w:sz="4" w:space="0"/>
              <w:right w:val="single" w:color="000000" w:sz="4" w:space="0"/>
            </w:tcBorders>
            <w:vAlign w:val="center"/>
          </w:tcPr>
          <w:p w14:paraId="54E75B3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6,876.83</w:t>
            </w:r>
          </w:p>
        </w:tc>
        <w:tc>
          <w:tcPr>
            <w:tcW w:w="1952" w:type="dxa"/>
            <w:tcBorders>
              <w:top w:val="single" w:color="000000" w:sz="4" w:space="0"/>
              <w:left w:val="single" w:color="000000" w:sz="4" w:space="0"/>
              <w:bottom w:val="single" w:color="000000" w:sz="4" w:space="0"/>
              <w:right w:val="single" w:color="000000" w:sz="4" w:space="0"/>
            </w:tcBorders>
            <w:vAlign w:val="center"/>
          </w:tcPr>
          <w:p w14:paraId="15A7C08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6,729.23</w:t>
            </w:r>
          </w:p>
        </w:tc>
      </w:tr>
      <w:tr w14:paraId="796A27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5213040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（2）设备购置</w:t>
            </w:r>
          </w:p>
        </w:tc>
        <w:tc>
          <w:tcPr>
            <w:tcW w:w="2151" w:type="dxa"/>
            <w:tcBorders>
              <w:top w:val="single" w:color="000000" w:sz="4" w:space="0"/>
              <w:left w:val="single" w:color="000000" w:sz="4" w:space="0"/>
              <w:bottom w:val="single" w:color="000000" w:sz="4" w:space="0"/>
              <w:right w:val="single" w:color="000000" w:sz="4" w:space="0"/>
            </w:tcBorders>
            <w:vAlign w:val="center"/>
          </w:tcPr>
          <w:p w14:paraId="4690386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2,975.49</w:t>
            </w:r>
          </w:p>
        </w:tc>
        <w:tc>
          <w:tcPr>
            <w:tcW w:w="1952" w:type="dxa"/>
            <w:tcBorders>
              <w:top w:val="single" w:color="000000" w:sz="4" w:space="0"/>
              <w:left w:val="single" w:color="000000" w:sz="4" w:space="0"/>
              <w:bottom w:val="single" w:color="000000" w:sz="4" w:space="0"/>
              <w:right w:val="single" w:color="000000" w:sz="4" w:space="0"/>
            </w:tcBorders>
            <w:vAlign w:val="center"/>
          </w:tcPr>
          <w:p w14:paraId="37DE37F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1,503.88</w:t>
            </w:r>
          </w:p>
        </w:tc>
        <w:tc>
          <w:tcPr>
            <w:tcW w:w="1952" w:type="dxa"/>
            <w:tcBorders>
              <w:top w:val="single" w:color="000000" w:sz="4" w:space="0"/>
              <w:left w:val="single" w:color="000000" w:sz="4" w:space="0"/>
              <w:bottom w:val="single" w:color="000000" w:sz="4" w:space="0"/>
              <w:right w:val="single" w:color="000000" w:sz="4" w:space="0"/>
            </w:tcBorders>
            <w:vAlign w:val="center"/>
          </w:tcPr>
          <w:p w14:paraId="0D89ABF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1,471.61</w:t>
            </w:r>
          </w:p>
        </w:tc>
      </w:tr>
      <w:tr w14:paraId="46027E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4DAF8B5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2、工程建设其他费用</w:t>
            </w:r>
          </w:p>
        </w:tc>
        <w:tc>
          <w:tcPr>
            <w:tcW w:w="2151" w:type="dxa"/>
            <w:tcBorders>
              <w:top w:val="single" w:color="000000" w:sz="4" w:space="0"/>
              <w:left w:val="single" w:color="000000" w:sz="4" w:space="0"/>
              <w:bottom w:val="single" w:color="000000" w:sz="4" w:space="0"/>
              <w:right w:val="single" w:color="000000" w:sz="4" w:space="0"/>
            </w:tcBorders>
            <w:vAlign w:val="center"/>
          </w:tcPr>
          <w:p w14:paraId="3B298E3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1,665.00</w:t>
            </w:r>
          </w:p>
        </w:tc>
        <w:tc>
          <w:tcPr>
            <w:tcW w:w="1952" w:type="dxa"/>
            <w:tcBorders>
              <w:top w:val="single" w:color="000000" w:sz="4" w:space="0"/>
              <w:left w:val="single" w:color="000000" w:sz="4" w:space="0"/>
              <w:bottom w:val="single" w:color="000000" w:sz="4" w:space="0"/>
              <w:right w:val="single" w:color="000000" w:sz="4" w:space="0"/>
            </w:tcBorders>
            <w:vAlign w:val="center"/>
          </w:tcPr>
          <w:p w14:paraId="7F22480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841.53</w:t>
            </w:r>
          </w:p>
        </w:tc>
        <w:tc>
          <w:tcPr>
            <w:tcW w:w="1952" w:type="dxa"/>
            <w:tcBorders>
              <w:top w:val="single" w:color="000000" w:sz="4" w:space="0"/>
              <w:left w:val="single" w:color="000000" w:sz="4" w:space="0"/>
              <w:bottom w:val="single" w:color="000000" w:sz="4" w:space="0"/>
              <w:right w:val="single" w:color="000000" w:sz="4" w:space="0"/>
            </w:tcBorders>
            <w:vAlign w:val="center"/>
          </w:tcPr>
          <w:p w14:paraId="4FA0309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823.47</w:t>
            </w:r>
          </w:p>
        </w:tc>
      </w:tr>
      <w:tr w14:paraId="5A2E508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489AD51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3、预备费用</w:t>
            </w:r>
          </w:p>
        </w:tc>
        <w:tc>
          <w:tcPr>
            <w:tcW w:w="2151" w:type="dxa"/>
            <w:tcBorders>
              <w:top w:val="single" w:color="000000" w:sz="4" w:space="0"/>
              <w:left w:val="single" w:color="000000" w:sz="4" w:space="0"/>
              <w:bottom w:val="single" w:color="000000" w:sz="4" w:space="0"/>
              <w:right w:val="single" w:color="000000" w:sz="4" w:space="0"/>
            </w:tcBorders>
            <w:vAlign w:val="center"/>
          </w:tcPr>
          <w:p w14:paraId="4D75255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711.45</w:t>
            </w:r>
          </w:p>
        </w:tc>
        <w:tc>
          <w:tcPr>
            <w:tcW w:w="1952" w:type="dxa"/>
            <w:tcBorders>
              <w:top w:val="single" w:color="000000" w:sz="4" w:space="0"/>
              <w:left w:val="single" w:color="000000" w:sz="4" w:space="0"/>
              <w:bottom w:val="single" w:color="000000" w:sz="4" w:space="0"/>
              <w:right w:val="single" w:color="000000" w:sz="4" w:space="0"/>
            </w:tcBorders>
            <w:vAlign w:val="center"/>
          </w:tcPr>
          <w:p w14:paraId="06E0F1A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359.58</w:t>
            </w:r>
          </w:p>
        </w:tc>
        <w:tc>
          <w:tcPr>
            <w:tcW w:w="1952" w:type="dxa"/>
            <w:tcBorders>
              <w:top w:val="single" w:color="000000" w:sz="4" w:space="0"/>
              <w:left w:val="single" w:color="000000" w:sz="4" w:space="0"/>
              <w:bottom w:val="single" w:color="000000" w:sz="4" w:space="0"/>
              <w:right w:val="single" w:color="000000" w:sz="4" w:space="0"/>
            </w:tcBorders>
            <w:vAlign w:val="center"/>
          </w:tcPr>
          <w:p w14:paraId="2BDB5E1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351.87</w:t>
            </w:r>
          </w:p>
        </w:tc>
      </w:tr>
      <w:tr w14:paraId="2683274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187A991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4、土地费用</w:t>
            </w:r>
          </w:p>
        </w:tc>
        <w:tc>
          <w:tcPr>
            <w:tcW w:w="2151" w:type="dxa"/>
            <w:tcBorders>
              <w:top w:val="single" w:color="000000" w:sz="4" w:space="0"/>
              <w:left w:val="single" w:color="000000" w:sz="4" w:space="0"/>
              <w:bottom w:val="single" w:color="000000" w:sz="4" w:space="0"/>
              <w:right w:val="single" w:color="000000" w:sz="4" w:space="0"/>
            </w:tcBorders>
            <w:vAlign w:val="center"/>
          </w:tcPr>
          <w:p w14:paraId="4713F63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400.00</w:t>
            </w:r>
          </w:p>
        </w:tc>
        <w:tc>
          <w:tcPr>
            <w:tcW w:w="1952" w:type="dxa"/>
            <w:tcBorders>
              <w:top w:val="single" w:color="000000" w:sz="4" w:space="0"/>
              <w:left w:val="single" w:color="000000" w:sz="4" w:space="0"/>
              <w:bottom w:val="single" w:color="000000" w:sz="4" w:space="0"/>
              <w:right w:val="single" w:color="000000" w:sz="4" w:space="0"/>
            </w:tcBorders>
            <w:vAlign w:val="center"/>
          </w:tcPr>
          <w:p w14:paraId="48A15D4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202.17</w:t>
            </w:r>
          </w:p>
        </w:tc>
        <w:tc>
          <w:tcPr>
            <w:tcW w:w="1952" w:type="dxa"/>
            <w:tcBorders>
              <w:top w:val="single" w:color="000000" w:sz="4" w:space="0"/>
              <w:left w:val="single" w:color="000000" w:sz="4" w:space="0"/>
              <w:bottom w:val="single" w:color="000000" w:sz="4" w:space="0"/>
              <w:right w:val="single" w:color="000000" w:sz="4" w:space="0"/>
            </w:tcBorders>
            <w:vAlign w:val="center"/>
          </w:tcPr>
          <w:p w14:paraId="2D0A94B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197.83</w:t>
            </w:r>
          </w:p>
        </w:tc>
      </w:tr>
      <w:tr w14:paraId="6DA0872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39D982E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5 征地费用</w:t>
            </w:r>
          </w:p>
        </w:tc>
        <w:tc>
          <w:tcPr>
            <w:tcW w:w="2151" w:type="dxa"/>
            <w:tcBorders>
              <w:top w:val="single" w:color="000000" w:sz="4" w:space="0"/>
              <w:left w:val="single" w:color="000000" w:sz="4" w:space="0"/>
              <w:bottom w:val="single" w:color="000000" w:sz="4" w:space="0"/>
              <w:right w:val="single" w:color="000000" w:sz="4" w:space="0"/>
            </w:tcBorders>
            <w:vAlign w:val="center"/>
          </w:tcPr>
          <w:p w14:paraId="6E4E867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w:t>
            </w:r>
          </w:p>
        </w:tc>
        <w:tc>
          <w:tcPr>
            <w:tcW w:w="1952" w:type="dxa"/>
            <w:tcBorders>
              <w:top w:val="single" w:color="000000" w:sz="4" w:space="0"/>
              <w:left w:val="single" w:color="000000" w:sz="4" w:space="0"/>
              <w:bottom w:val="single" w:color="000000" w:sz="4" w:space="0"/>
              <w:right w:val="single" w:color="000000" w:sz="4" w:space="0"/>
            </w:tcBorders>
            <w:vAlign w:val="center"/>
          </w:tcPr>
          <w:p w14:paraId="36A753B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w:t>
            </w:r>
          </w:p>
        </w:tc>
        <w:tc>
          <w:tcPr>
            <w:tcW w:w="1952" w:type="dxa"/>
            <w:tcBorders>
              <w:top w:val="single" w:color="000000" w:sz="4" w:space="0"/>
              <w:left w:val="single" w:color="000000" w:sz="4" w:space="0"/>
              <w:bottom w:val="single" w:color="000000" w:sz="4" w:space="0"/>
              <w:right w:val="single" w:color="000000" w:sz="4" w:space="0"/>
            </w:tcBorders>
            <w:vAlign w:val="center"/>
          </w:tcPr>
          <w:p w14:paraId="613BF11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w:t>
            </w:r>
          </w:p>
        </w:tc>
      </w:tr>
      <w:tr w14:paraId="5300E8A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164CD53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（二）流动资金</w:t>
            </w:r>
          </w:p>
        </w:tc>
        <w:tc>
          <w:tcPr>
            <w:tcW w:w="2151" w:type="dxa"/>
            <w:tcBorders>
              <w:top w:val="single" w:color="000000" w:sz="4" w:space="0"/>
              <w:left w:val="single" w:color="000000" w:sz="4" w:space="0"/>
              <w:bottom w:val="single" w:color="000000" w:sz="4" w:space="0"/>
              <w:right w:val="single" w:color="000000" w:sz="4" w:space="0"/>
            </w:tcBorders>
            <w:vAlign w:val="center"/>
          </w:tcPr>
          <w:p w14:paraId="6A3822E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w:t>
            </w:r>
          </w:p>
        </w:tc>
        <w:tc>
          <w:tcPr>
            <w:tcW w:w="1952" w:type="dxa"/>
            <w:tcBorders>
              <w:top w:val="single" w:color="000000" w:sz="4" w:space="0"/>
              <w:left w:val="single" w:color="000000" w:sz="4" w:space="0"/>
              <w:bottom w:val="single" w:color="000000" w:sz="4" w:space="0"/>
              <w:right w:val="single" w:color="000000" w:sz="4" w:space="0"/>
            </w:tcBorders>
            <w:vAlign w:val="center"/>
          </w:tcPr>
          <w:p w14:paraId="27271D7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w:t>
            </w:r>
          </w:p>
        </w:tc>
        <w:tc>
          <w:tcPr>
            <w:tcW w:w="1952" w:type="dxa"/>
            <w:tcBorders>
              <w:top w:val="single" w:color="000000" w:sz="4" w:space="0"/>
              <w:left w:val="single" w:color="000000" w:sz="4" w:space="0"/>
              <w:bottom w:val="single" w:color="000000" w:sz="4" w:space="0"/>
              <w:right w:val="single" w:color="000000" w:sz="4" w:space="0"/>
            </w:tcBorders>
            <w:vAlign w:val="center"/>
          </w:tcPr>
          <w:p w14:paraId="4BDDE1B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w:t>
            </w:r>
          </w:p>
        </w:tc>
      </w:tr>
      <w:tr w14:paraId="43C30CC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3204D15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（三）建设期利息</w:t>
            </w:r>
          </w:p>
        </w:tc>
        <w:tc>
          <w:tcPr>
            <w:tcW w:w="2151" w:type="dxa"/>
            <w:tcBorders>
              <w:top w:val="single" w:color="000000" w:sz="4" w:space="0"/>
              <w:left w:val="single" w:color="000000" w:sz="4" w:space="0"/>
              <w:bottom w:val="single" w:color="000000" w:sz="4" w:space="0"/>
              <w:right w:val="single" w:color="000000" w:sz="4" w:space="0"/>
            </w:tcBorders>
            <w:vAlign w:val="center"/>
          </w:tcPr>
          <w:p w14:paraId="21E3E9C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630.00</w:t>
            </w:r>
          </w:p>
        </w:tc>
        <w:tc>
          <w:tcPr>
            <w:tcW w:w="1952" w:type="dxa"/>
            <w:tcBorders>
              <w:top w:val="single" w:color="000000" w:sz="4" w:space="0"/>
              <w:left w:val="single" w:color="000000" w:sz="4" w:space="0"/>
              <w:bottom w:val="single" w:color="000000" w:sz="4" w:space="0"/>
              <w:right w:val="single" w:color="000000" w:sz="4" w:space="0"/>
            </w:tcBorders>
            <w:vAlign w:val="center"/>
          </w:tcPr>
          <w:p w14:paraId="1B65846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210.00</w:t>
            </w:r>
          </w:p>
        </w:tc>
        <w:tc>
          <w:tcPr>
            <w:tcW w:w="1952" w:type="dxa"/>
            <w:tcBorders>
              <w:top w:val="single" w:color="000000" w:sz="4" w:space="0"/>
              <w:left w:val="single" w:color="000000" w:sz="4" w:space="0"/>
              <w:bottom w:val="single" w:color="000000" w:sz="4" w:space="0"/>
              <w:right w:val="single" w:color="000000" w:sz="4" w:space="0"/>
            </w:tcBorders>
            <w:vAlign w:val="center"/>
          </w:tcPr>
          <w:p w14:paraId="0D58B8C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420.00</w:t>
            </w:r>
          </w:p>
        </w:tc>
      </w:tr>
      <w:tr w14:paraId="083B61C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5A3E2C8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（四）专项债券发行费用</w:t>
            </w:r>
          </w:p>
        </w:tc>
        <w:tc>
          <w:tcPr>
            <w:tcW w:w="2151" w:type="dxa"/>
            <w:tcBorders>
              <w:top w:val="single" w:color="000000" w:sz="4" w:space="0"/>
              <w:left w:val="single" w:color="000000" w:sz="4" w:space="0"/>
              <w:bottom w:val="single" w:color="000000" w:sz="4" w:space="0"/>
              <w:right w:val="single" w:color="000000" w:sz="4" w:space="0"/>
            </w:tcBorders>
            <w:vAlign w:val="center"/>
          </w:tcPr>
          <w:p w14:paraId="4316763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12.00</w:t>
            </w:r>
          </w:p>
        </w:tc>
        <w:tc>
          <w:tcPr>
            <w:tcW w:w="1952" w:type="dxa"/>
            <w:tcBorders>
              <w:top w:val="single" w:color="000000" w:sz="4" w:space="0"/>
              <w:left w:val="single" w:color="000000" w:sz="4" w:space="0"/>
              <w:bottom w:val="single" w:color="000000" w:sz="4" w:space="0"/>
              <w:right w:val="single" w:color="000000" w:sz="4" w:space="0"/>
            </w:tcBorders>
            <w:vAlign w:val="center"/>
          </w:tcPr>
          <w:p w14:paraId="04314E6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6.00</w:t>
            </w:r>
          </w:p>
        </w:tc>
        <w:tc>
          <w:tcPr>
            <w:tcW w:w="1952" w:type="dxa"/>
            <w:tcBorders>
              <w:top w:val="single" w:color="000000" w:sz="4" w:space="0"/>
              <w:left w:val="single" w:color="000000" w:sz="4" w:space="0"/>
              <w:bottom w:val="single" w:color="000000" w:sz="4" w:space="0"/>
              <w:right w:val="single" w:color="000000" w:sz="4" w:space="0"/>
            </w:tcBorders>
            <w:vAlign w:val="center"/>
          </w:tcPr>
          <w:p w14:paraId="741F2FB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6.00</w:t>
            </w:r>
          </w:p>
        </w:tc>
      </w:tr>
      <w:tr w14:paraId="6D0D197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51664F5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小计（3+11+12+13）</w:t>
            </w:r>
          </w:p>
        </w:tc>
        <w:tc>
          <w:tcPr>
            <w:tcW w:w="2151" w:type="dxa"/>
            <w:tcBorders>
              <w:top w:val="single" w:color="000000" w:sz="4" w:space="0"/>
              <w:left w:val="single" w:color="000000" w:sz="4" w:space="0"/>
              <w:bottom w:val="single" w:color="000000" w:sz="4" w:space="0"/>
              <w:right w:val="single" w:color="000000" w:sz="4" w:space="0"/>
            </w:tcBorders>
            <w:vAlign w:val="center"/>
          </w:tcPr>
          <w:p w14:paraId="6E0D4DC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20,000.00</w:t>
            </w:r>
          </w:p>
        </w:tc>
        <w:tc>
          <w:tcPr>
            <w:tcW w:w="1952" w:type="dxa"/>
            <w:tcBorders>
              <w:top w:val="single" w:color="000000" w:sz="4" w:space="0"/>
              <w:left w:val="single" w:color="000000" w:sz="4" w:space="0"/>
              <w:bottom w:val="single" w:color="000000" w:sz="4" w:space="0"/>
              <w:right w:val="single" w:color="000000" w:sz="4" w:space="0"/>
            </w:tcBorders>
            <w:vAlign w:val="center"/>
          </w:tcPr>
          <w:p w14:paraId="5F76CAC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10,000.00</w:t>
            </w:r>
          </w:p>
        </w:tc>
        <w:tc>
          <w:tcPr>
            <w:tcW w:w="1952" w:type="dxa"/>
            <w:tcBorders>
              <w:top w:val="single" w:color="000000" w:sz="4" w:space="0"/>
              <w:left w:val="single" w:color="000000" w:sz="4" w:space="0"/>
              <w:bottom w:val="single" w:color="000000" w:sz="4" w:space="0"/>
              <w:right w:val="single" w:color="000000" w:sz="4" w:space="0"/>
            </w:tcBorders>
            <w:vAlign w:val="center"/>
          </w:tcPr>
          <w:p w14:paraId="678FE9C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10,000.00</w:t>
            </w:r>
          </w:p>
        </w:tc>
      </w:tr>
      <w:tr w14:paraId="2CF5C1B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258CA54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二、筹资</w:t>
            </w:r>
          </w:p>
        </w:tc>
        <w:tc>
          <w:tcPr>
            <w:tcW w:w="2151" w:type="dxa"/>
            <w:tcBorders>
              <w:top w:val="single" w:color="000000" w:sz="4" w:space="0"/>
              <w:left w:val="single" w:color="000000" w:sz="4" w:space="0"/>
              <w:bottom w:val="single" w:color="000000" w:sz="4" w:space="0"/>
              <w:right w:val="single" w:color="000000" w:sz="4" w:space="0"/>
            </w:tcBorders>
            <w:vAlign w:val="center"/>
          </w:tcPr>
          <w:p w14:paraId="335FFD5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w:t>
            </w:r>
          </w:p>
        </w:tc>
        <w:tc>
          <w:tcPr>
            <w:tcW w:w="1952" w:type="dxa"/>
            <w:tcBorders>
              <w:top w:val="single" w:color="000000" w:sz="4" w:space="0"/>
              <w:left w:val="single" w:color="000000" w:sz="4" w:space="0"/>
              <w:bottom w:val="single" w:color="000000" w:sz="4" w:space="0"/>
              <w:right w:val="single" w:color="000000" w:sz="4" w:space="0"/>
            </w:tcBorders>
            <w:vAlign w:val="center"/>
          </w:tcPr>
          <w:p w14:paraId="2F07BE3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w:t>
            </w:r>
          </w:p>
        </w:tc>
        <w:tc>
          <w:tcPr>
            <w:tcW w:w="1952" w:type="dxa"/>
            <w:tcBorders>
              <w:top w:val="single" w:color="000000" w:sz="4" w:space="0"/>
              <w:left w:val="single" w:color="000000" w:sz="4" w:space="0"/>
              <w:bottom w:val="single" w:color="000000" w:sz="4" w:space="0"/>
              <w:right w:val="single" w:color="000000" w:sz="4" w:space="0"/>
            </w:tcBorders>
            <w:vAlign w:val="center"/>
          </w:tcPr>
          <w:p w14:paraId="1CCA6D2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w:t>
            </w:r>
          </w:p>
        </w:tc>
      </w:tr>
      <w:tr w14:paraId="5E5C84D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757E31A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（一）自筹资本金</w:t>
            </w:r>
          </w:p>
        </w:tc>
        <w:tc>
          <w:tcPr>
            <w:tcW w:w="2151" w:type="dxa"/>
            <w:tcBorders>
              <w:top w:val="single" w:color="000000" w:sz="4" w:space="0"/>
              <w:left w:val="single" w:color="000000" w:sz="4" w:space="0"/>
              <w:bottom w:val="single" w:color="000000" w:sz="4" w:space="0"/>
              <w:right w:val="single" w:color="000000" w:sz="4" w:space="0"/>
            </w:tcBorders>
            <w:vAlign w:val="center"/>
          </w:tcPr>
          <w:p w14:paraId="3D8ACCF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8,000.00</w:t>
            </w:r>
          </w:p>
        </w:tc>
        <w:tc>
          <w:tcPr>
            <w:tcW w:w="1952" w:type="dxa"/>
            <w:tcBorders>
              <w:top w:val="single" w:color="000000" w:sz="4" w:space="0"/>
              <w:left w:val="single" w:color="000000" w:sz="4" w:space="0"/>
              <w:bottom w:val="single" w:color="000000" w:sz="4" w:space="0"/>
              <w:right w:val="single" w:color="000000" w:sz="4" w:space="0"/>
            </w:tcBorders>
            <w:vAlign w:val="center"/>
          </w:tcPr>
          <w:p w14:paraId="5EC2BAB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4,000.00</w:t>
            </w:r>
          </w:p>
        </w:tc>
        <w:tc>
          <w:tcPr>
            <w:tcW w:w="1952" w:type="dxa"/>
            <w:tcBorders>
              <w:top w:val="single" w:color="000000" w:sz="4" w:space="0"/>
              <w:left w:val="single" w:color="000000" w:sz="4" w:space="0"/>
              <w:bottom w:val="single" w:color="000000" w:sz="4" w:space="0"/>
              <w:right w:val="single" w:color="000000" w:sz="4" w:space="0"/>
            </w:tcBorders>
            <w:vAlign w:val="center"/>
          </w:tcPr>
          <w:p w14:paraId="162A4EA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4,000.00</w:t>
            </w:r>
          </w:p>
        </w:tc>
      </w:tr>
      <w:tr w14:paraId="6BC9A7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00E3248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（二）发行专项债券资本金</w:t>
            </w:r>
          </w:p>
        </w:tc>
        <w:tc>
          <w:tcPr>
            <w:tcW w:w="2151" w:type="dxa"/>
            <w:tcBorders>
              <w:top w:val="single" w:color="000000" w:sz="4" w:space="0"/>
              <w:left w:val="single" w:color="000000" w:sz="4" w:space="0"/>
              <w:bottom w:val="single" w:color="000000" w:sz="4" w:space="0"/>
              <w:right w:val="single" w:color="000000" w:sz="4" w:space="0"/>
            </w:tcBorders>
            <w:vAlign w:val="center"/>
          </w:tcPr>
          <w:p w14:paraId="383D495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12,000.00</w:t>
            </w:r>
          </w:p>
        </w:tc>
        <w:tc>
          <w:tcPr>
            <w:tcW w:w="1952" w:type="dxa"/>
            <w:tcBorders>
              <w:top w:val="single" w:color="000000" w:sz="4" w:space="0"/>
              <w:left w:val="single" w:color="000000" w:sz="4" w:space="0"/>
              <w:bottom w:val="single" w:color="000000" w:sz="4" w:space="0"/>
              <w:right w:val="single" w:color="000000" w:sz="4" w:space="0"/>
            </w:tcBorders>
            <w:vAlign w:val="center"/>
          </w:tcPr>
          <w:p w14:paraId="229F9B2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6,000.00</w:t>
            </w:r>
          </w:p>
        </w:tc>
        <w:tc>
          <w:tcPr>
            <w:tcW w:w="1952" w:type="dxa"/>
            <w:tcBorders>
              <w:top w:val="single" w:color="000000" w:sz="4" w:space="0"/>
              <w:left w:val="single" w:color="000000" w:sz="4" w:space="0"/>
              <w:bottom w:val="single" w:color="000000" w:sz="4" w:space="0"/>
              <w:right w:val="single" w:color="000000" w:sz="4" w:space="0"/>
            </w:tcBorders>
            <w:vAlign w:val="center"/>
          </w:tcPr>
          <w:p w14:paraId="24BFFBD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6,000.00</w:t>
            </w:r>
          </w:p>
        </w:tc>
      </w:tr>
      <w:tr w14:paraId="6A9DEE6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5" w:hRule="atLeast"/>
        </w:trPr>
        <w:tc>
          <w:tcPr>
            <w:tcW w:w="2465" w:type="dxa"/>
            <w:tcBorders>
              <w:top w:val="single" w:color="000000" w:sz="4" w:space="0"/>
              <w:left w:val="single" w:color="000000" w:sz="4" w:space="0"/>
              <w:bottom w:val="single" w:color="000000" w:sz="4" w:space="0"/>
              <w:right w:val="single" w:color="000000" w:sz="4" w:space="0"/>
            </w:tcBorders>
            <w:vAlign w:val="center"/>
          </w:tcPr>
          <w:p w14:paraId="19541E6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小计（16+17）</w:t>
            </w:r>
          </w:p>
        </w:tc>
        <w:tc>
          <w:tcPr>
            <w:tcW w:w="2151" w:type="dxa"/>
            <w:tcBorders>
              <w:top w:val="single" w:color="000000" w:sz="4" w:space="0"/>
              <w:left w:val="single" w:color="000000" w:sz="4" w:space="0"/>
              <w:bottom w:val="single" w:color="000000" w:sz="4" w:space="0"/>
              <w:right w:val="single" w:color="000000" w:sz="4" w:space="0"/>
            </w:tcBorders>
            <w:vAlign w:val="center"/>
          </w:tcPr>
          <w:p w14:paraId="35E7E84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20,000.00</w:t>
            </w:r>
          </w:p>
        </w:tc>
        <w:tc>
          <w:tcPr>
            <w:tcW w:w="1952" w:type="dxa"/>
            <w:tcBorders>
              <w:top w:val="single" w:color="000000" w:sz="4" w:space="0"/>
              <w:left w:val="single" w:color="000000" w:sz="4" w:space="0"/>
              <w:bottom w:val="single" w:color="000000" w:sz="4" w:space="0"/>
              <w:right w:val="single" w:color="000000" w:sz="4" w:space="0"/>
            </w:tcBorders>
            <w:vAlign w:val="center"/>
          </w:tcPr>
          <w:p w14:paraId="5446A86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10,000.00</w:t>
            </w:r>
          </w:p>
        </w:tc>
        <w:tc>
          <w:tcPr>
            <w:tcW w:w="1952" w:type="dxa"/>
            <w:tcBorders>
              <w:top w:val="single" w:color="000000" w:sz="4" w:space="0"/>
              <w:left w:val="single" w:color="000000" w:sz="4" w:space="0"/>
              <w:bottom w:val="single" w:color="000000" w:sz="4" w:space="0"/>
              <w:right w:val="single" w:color="000000" w:sz="4" w:space="0"/>
            </w:tcBorders>
            <w:vAlign w:val="center"/>
          </w:tcPr>
          <w:p w14:paraId="1396280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10,000.00</w:t>
            </w:r>
          </w:p>
        </w:tc>
      </w:tr>
    </w:tbl>
    <w:p w14:paraId="6811158C">
      <w:pPr>
        <w:pStyle w:val="13"/>
        <w:keepNext w:val="0"/>
        <w:keepLines w:val="0"/>
        <w:pageBreakBefore w:val="0"/>
        <w:kinsoku/>
        <w:wordWrap/>
        <w:overflowPunct/>
        <w:topLinePunct w:val="0"/>
        <w:autoSpaceDE/>
        <w:autoSpaceDN/>
        <w:bidi w:val="0"/>
        <w:spacing w:line="360" w:lineRule="auto"/>
        <w:ind w:left="0" w:leftChars="0" w:firstLine="0" w:firstLineChars="0"/>
        <w:jc w:val="left"/>
        <w:textAlignment w:val="auto"/>
        <w:rPr>
          <w:rFonts w:hint="eastAsia" w:ascii="仿宋" w:hAnsi="仿宋" w:eastAsia="仿宋" w:cs="仿宋"/>
          <w:b/>
          <w:color w:val="000000" w:themeColor="text1"/>
          <w:kern w:val="0"/>
          <w:sz w:val="30"/>
          <w:szCs w:val="30"/>
          <w14:textFill>
            <w14:solidFill>
              <w14:schemeClr w14:val="tx1"/>
            </w14:solidFill>
          </w14:textFill>
        </w:rPr>
      </w:pPr>
    </w:p>
    <w:p w14:paraId="087940C0">
      <w:pPr>
        <w:pageBreakBefore w:val="0"/>
        <w:kinsoku/>
        <w:wordWrap/>
        <w:overflowPunct/>
        <w:topLinePunct w:val="0"/>
        <w:autoSpaceDE/>
        <w:autoSpaceDN/>
        <w:bidi w:val="0"/>
        <w:spacing w:line="360" w:lineRule="auto"/>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br w:type="page"/>
      </w:r>
    </w:p>
    <w:p w14:paraId="3B4619A2">
      <w:pPr>
        <w:keepNext w:val="0"/>
        <w:keepLines w:val="0"/>
        <w:pageBreakBefore w:val="0"/>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四、项目预期收益、成本及融资平衡情况</w:t>
      </w:r>
    </w:p>
    <w:p w14:paraId="3A4FDAB4">
      <w:pPr>
        <w:keepNext w:val="0"/>
        <w:keepLines w:val="0"/>
        <w:pageBreakBefore w:val="0"/>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（一）预期收益</w:t>
      </w:r>
    </w:p>
    <w:p w14:paraId="1C9ACAF2">
      <w:pPr>
        <w:keepNext w:val="0"/>
        <w:keepLines w:val="0"/>
        <w:pageBreakBefore w:val="0"/>
        <w:kinsoku/>
        <w:wordWrap/>
        <w:overflowPunct/>
        <w:topLinePunct w:val="0"/>
        <w:autoSpaceDE/>
        <w:autoSpaceDN/>
        <w:bidi w:val="0"/>
        <w:spacing w:line="360" w:lineRule="auto"/>
        <w:ind w:firstLine="522" w:firstLineChars="200"/>
        <w:textAlignment w:val="auto"/>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1.项目收入</w:t>
      </w:r>
    </w:p>
    <w:p w14:paraId="426D7F07">
      <w:pPr>
        <w:pStyle w:val="2"/>
        <w:pageBreakBefore w:val="0"/>
        <w:kinsoku/>
        <w:wordWrap/>
        <w:overflowPunct/>
        <w:topLinePunct w:val="0"/>
        <w:autoSpaceDE/>
        <w:autoSpaceDN/>
        <w:bidi w:val="0"/>
        <w:spacing w:before="156" w:beforeLines="50" w:after="156" w:afterLines="50" w:line="360" w:lineRule="auto"/>
        <w:ind w:firstLine="640" w:firstLineChars="200"/>
        <w:jc w:val="both"/>
        <w:rPr>
          <w:rFonts w:hint="eastAsia" w:ascii="仿宋" w:hAnsi="仿宋" w:eastAsia="仿宋" w:cs="仿宋"/>
          <w:lang w:val="en-US"/>
        </w:rPr>
      </w:pPr>
      <w:r>
        <w:rPr>
          <w:rFonts w:hint="eastAsia" w:ascii="仿宋" w:hAnsi="仿宋" w:eastAsia="仿宋" w:cs="仿宋"/>
          <w:kern w:val="2"/>
          <w:sz w:val="32"/>
          <w:szCs w:val="32"/>
          <w:lang w:val="en-US" w:eastAsia="zh-CN"/>
        </w:rPr>
        <w:t>本项目收入包括</w:t>
      </w:r>
      <w:r>
        <w:rPr>
          <w:rFonts w:hint="eastAsia" w:ascii="仿宋" w:hAnsi="仿宋" w:eastAsia="仿宋" w:cs="仿宋"/>
          <w:b/>
          <w:bCs/>
          <w:sz w:val="32"/>
          <w:szCs w:val="32"/>
          <w:lang w:val="en-US" w:eastAsia="zh-CN"/>
        </w:rPr>
        <w:t>大棚作物育种育苗收入、种苗保供收入等。</w:t>
      </w:r>
    </w:p>
    <w:p w14:paraId="5CBA970F">
      <w:pPr>
        <w:pStyle w:val="25"/>
        <w:keepNext w:val="0"/>
        <w:keepLines w:val="0"/>
        <w:pageBreakBefore w:val="0"/>
        <w:widowControl w:val="0"/>
        <w:kinsoku/>
        <w:wordWrap/>
        <w:overflowPunct/>
        <w:topLinePunct w:val="0"/>
        <w:autoSpaceDE/>
        <w:autoSpaceDN/>
        <w:bidi w:val="0"/>
        <w:adjustRightInd w:val="0"/>
        <w:snapToGrid w:val="0"/>
        <w:spacing w:line="360" w:lineRule="auto"/>
        <w:ind w:firstLine="560"/>
        <w:textAlignment w:val="auto"/>
        <w:rPr>
          <w:rFonts w:hint="eastAsia" w:ascii="仿宋" w:hAnsi="仿宋" w:eastAsia="仿宋" w:cs="仿宋"/>
          <w:color w:val="000000" w:themeColor="text1"/>
          <w:spacing w:val="-20"/>
          <w:sz w:val="30"/>
          <w:szCs w:val="30"/>
          <w14:textFill>
            <w14:solidFill>
              <w14:schemeClr w14:val="tx1"/>
            </w14:solidFill>
          </w14:textFill>
        </w:rPr>
      </w:pPr>
      <w:r>
        <w:rPr>
          <w:rFonts w:hint="eastAsia" w:ascii="仿宋" w:hAnsi="仿宋" w:eastAsia="仿宋" w:cs="仿宋"/>
          <w:color w:val="000000" w:themeColor="text1"/>
          <w:spacing w:val="-20"/>
          <w:sz w:val="30"/>
          <w:szCs w:val="30"/>
          <w14:textFill>
            <w14:solidFill>
              <w14:schemeClr w14:val="tx1"/>
            </w14:solidFill>
          </w14:textFill>
        </w:rPr>
        <w:t>运营期内含税收入合计 33,561.31万元，不含税收入合计 33,102.81万元。</w:t>
      </w:r>
    </w:p>
    <w:p w14:paraId="29D2F6A5">
      <w:pPr>
        <w:keepNext w:val="0"/>
        <w:keepLines w:val="0"/>
        <w:pageBreakBefore w:val="0"/>
        <w:kinsoku/>
        <w:wordWrap/>
        <w:overflowPunct/>
        <w:topLinePunct w:val="0"/>
        <w:autoSpaceDE/>
        <w:autoSpaceDN/>
        <w:bidi w:val="0"/>
        <w:spacing w:line="360" w:lineRule="auto"/>
        <w:ind w:firstLine="522" w:firstLineChars="200"/>
        <w:textAlignment w:val="auto"/>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2.项目总成本费用</w:t>
      </w:r>
    </w:p>
    <w:p w14:paraId="2E6505B0">
      <w:pPr>
        <w:pStyle w:val="2"/>
        <w:pageBreakBefore w:val="0"/>
        <w:kinsoku/>
        <w:wordWrap/>
        <w:overflowPunct/>
        <w:topLinePunct w:val="0"/>
        <w:autoSpaceDE/>
        <w:autoSpaceDN/>
        <w:bidi w:val="0"/>
        <w:spacing w:line="360" w:lineRule="auto"/>
        <w:ind w:firstLine="640" w:firstLineChars="200"/>
        <w:jc w:val="both"/>
        <w:rPr>
          <w:rFonts w:hint="eastAsia" w:ascii="仿宋" w:hAnsi="仿宋" w:eastAsia="仿宋" w:cs="仿宋"/>
          <w:sz w:val="32"/>
          <w:szCs w:val="32"/>
        </w:rPr>
      </w:pPr>
      <w:r>
        <w:rPr>
          <w:rFonts w:hint="eastAsia" w:ascii="仿宋" w:hAnsi="仿宋" w:eastAsia="仿宋" w:cs="仿宋"/>
          <w:sz w:val="32"/>
          <w:szCs w:val="32"/>
        </w:rPr>
        <w:t>项目的总成本包括</w:t>
      </w:r>
      <w:r>
        <w:rPr>
          <w:rFonts w:hint="eastAsia" w:ascii="仿宋" w:hAnsi="仿宋" w:eastAsia="仿宋" w:cs="仿宋"/>
          <w:b/>
          <w:bCs/>
          <w:sz w:val="32"/>
          <w:szCs w:val="32"/>
        </w:rPr>
        <w:t>水电燃料及动力费</w:t>
      </w:r>
      <w:r>
        <w:rPr>
          <w:rFonts w:hint="eastAsia" w:ascii="仿宋" w:hAnsi="仿宋" w:eastAsia="仿宋" w:cs="仿宋"/>
          <w:sz w:val="32"/>
          <w:szCs w:val="32"/>
        </w:rPr>
        <w:t>、</w:t>
      </w:r>
      <w:r>
        <w:rPr>
          <w:rFonts w:hint="eastAsia" w:ascii="仿宋" w:hAnsi="仿宋" w:eastAsia="仿宋" w:cs="仿宋"/>
          <w:b/>
          <w:bCs/>
          <w:sz w:val="32"/>
          <w:szCs w:val="32"/>
        </w:rPr>
        <w:t>育苗原材料</w:t>
      </w:r>
      <w:r>
        <w:rPr>
          <w:rFonts w:hint="eastAsia" w:ascii="仿宋" w:hAnsi="仿宋" w:eastAsia="仿宋" w:cs="仿宋"/>
          <w:b/>
          <w:bCs/>
          <w:sz w:val="32"/>
          <w:szCs w:val="32"/>
          <w:lang w:val="en-US" w:eastAsia="zh-CN"/>
        </w:rPr>
        <w:t>成本</w:t>
      </w:r>
      <w:r>
        <w:rPr>
          <w:rFonts w:hint="eastAsia" w:ascii="仿宋" w:hAnsi="仿宋" w:eastAsia="仿宋" w:cs="仿宋"/>
          <w:sz w:val="32"/>
          <w:szCs w:val="32"/>
        </w:rPr>
        <w:t>、</w:t>
      </w:r>
      <w:r>
        <w:rPr>
          <w:rFonts w:hint="eastAsia" w:ascii="仿宋" w:hAnsi="仿宋" w:eastAsia="仿宋" w:cs="仿宋"/>
          <w:b/>
          <w:bCs/>
          <w:sz w:val="32"/>
          <w:szCs w:val="32"/>
        </w:rPr>
        <w:t>土地流转费用</w:t>
      </w:r>
      <w:r>
        <w:rPr>
          <w:rFonts w:hint="eastAsia" w:ascii="仿宋" w:hAnsi="仿宋" w:eastAsia="仿宋" w:cs="仿宋"/>
          <w:sz w:val="32"/>
          <w:szCs w:val="32"/>
        </w:rPr>
        <w:t>、</w:t>
      </w:r>
      <w:r>
        <w:rPr>
          <w:rFonts w:hint="eastAsia" w:ascii="仿宋" w:hAnsi="仿宋" w:eastAsia="仿宋" w:cs="仿宋"/>
          <w:b/>
          <w:bCs/>
          <w:sz w:val="32"/>
          <w:szCs w:val="32"/>
        </w:rPr>
        <w:t>人员工资及福利</w:t>
      </w:r>
      <w:r>
        <w:rPr>
          <w:rFonts w:hint="eastAsia" w:ascii="仿宋" w:hAnsi="仿宋" w:eastAsia="仿宋" w:cs="仿宋"/>
          <w:sz w:val="32"/>
          <w:szCs w:val="32"/>
        </w:rPr>
        <w:t>、</w:t>
      </w:r>
      <w:r>
        <w:rPr>
          <w:rFonts w:hint="eastAsia" w:ascii="仿宋" w:hAnsi="仿宋" w:eastAsia="仿宋" w:cs="仿宋"/>
          <w:b/>
          <w:bCs/>
          <w:sz w:val="32"/>
          <w:szCs w:val="32"/>
          <w:lang w:val="en-US" w:eastAsia="zh-CN"/>
        </w:rPr>
        <w:t>销售费用、</w:t>
      </w:r>
      <w:r>
        <w:rPr>
          <w:rFonts w:hint="eastAsia" w:ascii="仿宋" w:hAnsi="仿宋" w:eastAsia="仿宋" w:cs="仿宋"/>
          <w:b/>
          <w:bCs/>
          <w:sz w:val="32"/>
          <w:szCs w:val="32"/>
        </w:rPr>
        <w:t>日常维护维修费、运营管理及其他费用</w:t>
      </w:r>
      <w:r>
        <w:rPr>
          <w:rFonts w:hint="eastAsia" w:ascii="仿宋" w:hAnsi="仿宋" w:eastAsia="仿宋" w:cs="仿宋"/>
          <w:sz w:val="32"/>
          <w:szCs w:val="32"/>
        </w:rPr>
        <w:t>。</w:t>
      </w:r>
    </w:p>
    <w:p w14:paraId="056EA908">
      <w:pPr>
        <w:pStyle w:val="18"/>
        <w:keepNext w:val="0"/>
        <w:keepLines w:val="0"/>
        <w:pageBreakBefore w:val="0"/>
        <w:kinsoku/>
        <w:wordWrap/>
        <w:overflowPunct/>
        <w:topLinePunct w:val="0"/>
        <w:autoSpaceDE/>
        <w:autoSpaceDN/>
        <w:bidi w:val="0"/>
        <w:spacing w:line="360" w:lineRule="auto"/>
        <w:textAlignment w:val="auto"/>
        <w:rPr>
          <w:rFonts w:hint="eastAsia" w:ascii="仿宋" w:hAnsi="仿宋" w:eastAsia="仿宋" w:cs="仿宋"/>
          <w:color w:val="000000" w:themeColor="text1"/>
          <w:spacing w:val="-20"/>
          <w:kern w:val="2"/>
          <w:sz w:val="30"/>
          <w:szCs w:val="30"/>
          <w:lang w:val="en-US" w:eastAsia="zh-CN" w:bidi="ar-SA"/>
          <w14:textFill>
            <w14:solidFill>
              <w14:schemeClr w14:val="tx1"/>
            </w14:solidFill>
          </w14:textFill>
        </w:rPr>
      </w:pPr>
      <w:r>
        <w:rPr>
          <w:rFonts w:hint="eastAsia" w:ascii="仿宋" w:hAnsi="仿宋" w:eastAsia="仿宋" w:cs="仿宋"/>
          <w:color w:val="000000" w:themeColor="text1"/>
          <w:spacing w:val="-20"/>
          <w:kern w:val="2"/>
          <w:sz w:val="30"/>
          <w:szCs w:val="30"/>
          <w:lang w:val="en-US" w:eastAsia="zh-CN" w:bidi="ar-SA"/>
          <w14:textFill>
            <w14:solidFill>
              <w14:schemeClr w14:val="tx1"/>
            </w14:solidFill>
          </w14:textFill>
        </w:rPr>
        <w:t>运营期内成本</w:t>
      </w:r>
      <w:r>
        <w:rPr>
          <w:rFonts w:hint="eastAsia" w:ascii="仿宋" w:hAnsi="仿宋" w:eastAsia="仿宋" w:cs="仿宋"/>
          <w:color w:val="000000" w:themeColor="text1"/>
          <w:spacing w:val="-20"/>
          <w:kern w:val="2"/>
          <w:sz w:val="30"/>
          <w:szCs w:val="30"/>
          <w:lang w:val="en-US" w:eastAsia="zh-Hans" w:bidi="ar-SA"/>
          <w14:textFill>
            <w14:solidFill>
              <w14:schemeClr w14:val="tx1"/>
            </w14:solidFill>
          </w14:textFill>
        </w:rPr>
        <w:t>（不含税）</w:t>
      </w:r>
      <w:r>
        <w:rPr>
          <w:rFonts w:hint="eastAsia" w:ascii="仿宋" w:hAnsi="仿宋" w:eastAsia="仿宋" w:cs="仿宋"/>
          <w:color w:val="000000" w:themeColor="text1"/>
          <w:spacing w:val="-20"/>
          <w:kern w:val="2"/>
          <w:sz w:val="30"/>
          <w:szCs w:val="30"/>
          <w:lang w:val="en-US" w:eastAsia="zh-CN" w:bidi="ar-SA"/>
          <w14:textFill>
            <w14:solidFill>
              <w14:schemeClr w14:val="tx1"/>
            </w14:solidFill>
          </w14:textFill>
        </w:rPr>
        <w:t>共计25,553.21万元，经营成本（含税） 12,178.89 万元。</w:t>
      </w:r>
    </w:p>
    <w:p w14:paraId="50707259">
      <w:pPr>
        <w:keepNext w:val="0"/>
        <w:keepLines w:val="0"/>
        <w:pageBreakBefore w:val="0"/>
        <w:numPr>
          <w:ilvl w:val="0"/>
          <w:numId w:val="2"/>
        </w:numPr>
        <w:kinsoku/>
        <w:wordWrap/>
        <w:overflowPunct/>
        <w:topLinePunct w:val="0"/>
        <w:autoSpaceDE/>
        <w:autoSpaceDN/>
        <w:bidi w:val="0"/>
        <w:spacing w:line="360" w:lineRule="auto"/>
        <w:ind w:left="0" w:leftChars="0"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资金测算平衡情况</w:t>
      </w:r>
    </w:p>
    <w:p w14:paraId="602231F9">
      <w:pPr>
        <w:keepNext w:val="0"/>
        <w:keepLines w:val="0"/>
        <w:pageBreakBefore w:val="0"/>
        <w:numPr>
          <w:ilvl w:val="0"/>
          <w:numId w:val="0"/>
        </w:numPr>
        <w:kinsoku/>
        <w:wordWrap/>
        <w:overflowPunct/>
        <w:topLinePunct w:val="0"/>
        <w:autoSpaceDE/>
        <w:autoSpaceDN/>
        <w:bidi w:val="0"/>
        <w:spacing w:line="360" w:lineRule="auto"/>
        <w:ind w:firstLine="640" w:firstLineChars="200"/>
        <w:jc w:val="left"/>
        <w:textAlignment w:val="auto"/>
        <w:outlineLvl w:val="0"/>
        <w:rPr>
          <w:rFonts w:hint="eastAsia" w:ascii="仿宋" w:hAnsi="仿宋" w:eastAsia="仿宋" w:cs="仿宋"/>
          <w:kern w:val="2"/>
          <w:sz w:val="32"/>
          <w:szCs w:val="32"/>
          <w:lang w:val="en-GB" w:eastAsia="zh-CN" w:bidi="ar-SA"/>
        </w:rPr>
      </w:pPr>
      <w:r>
        <w:rPr>
          <w:rFonts w:hint="eastAsia" w:ascii="仿宋" w:hAnsi="仿宋" w:eastAsia="仿宋" w:cs="仿宋"/>
          <w:kern w:val="2"/>
          <w:sz w:val="32"/>
          <w:szCs w:val="32"/>
          <w:lang w:val="en-GB" w:eastAsia="zh-CN" w:bidi="ar-SA"/>
        </w:rPr>
        <w:t>根据33号文要求，对项目收入进行分账管理，在选定银行开立专项债券偿债资金账户，用于归集项目收益偿还债券本金及利息。本项目可用于偿还专项债券的经营性现金流为 19,468.66 万元，本项目专项债券本息合计为 16,200.00 万元，项目可用于偿还专项债券的经营性现金流对专项债券本息覆盖倍数为1.20。</w:t>
      </w:r>
    </w:p>
    <w:p w14:paraId="42E34FD5">
      <w:pPr>
        <w:pStyle w:val="25"/>
        <w:keepNext w:val="0"/>
        <w:keepLines w:val="0"/>
        <w:pageBreakBefore w:val="0"/>
        <w:tabs>
          <w:tab w:val="left" w:pos="312"/>
        </w:tabs>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kern w:val="2"/>
          <w:sz w:val="32"/>
          <w:szCs w:val="32"/>
          <w:lang w:val="en-GB" w:eastAsia="zh-CN" w:bidi="ar-SA"/>
        </w:rPr>
        <w:sectPr>
          <w:pgSz w:w="11906" w:h="16838"/>
          <w:pgMar w:top="1440" w:right="1800" w:bottom="1418" w:left="1800" w:header="851" w:footer="992" w:gutter="0"/>
          <w:cols w:space="425" w:num="1"/>
          <w:docGrid w:type="lines" w:linePitch="312" w:charSpace="0"/>
        </w:sectPr>
      </w:pPr>
      <w:r>
        <w:rPr>
          <w:rFonts w:hint="eastAsia" w:ascii="仿宋" w:hAnsi="仿宋" w:eastAsia="仿宋" w:cs="仿宋"/>
          <w:kern w:val="2"/>
          <w:sz w:val="32"/>
          <w:szCs w:val="32"/>
          <w:lang w:val="en-US" w:eastAsia="zh-CN" w:bidi="ar-SA"/>
        </w:rPr>
        <w:t xml:space="preserve">  </w:t>
      </w:r>
      <w:r>
        <w:rPr>
          <w:rFonts w:hint="eastAsia" w:ascii="仿宋" w:hAnsi="仿宋" w:eastAsia="仿宋" w:cs="仿宋"/>
          <w:kern w:val="2"/>
          <w:sz w:val="32"/>
          <w:szCs w:val="32"/>
          <w:lang w:val="en-GB" w:eastAsia="zh-CN" w:bidi="ar-SA"/>
        </w:rPr>
        <w:t>建设期内投资与筹资总体平衡，故只需考虑项目运营期间的经营性现金流对运营期内需偿还的本息的覆盖率，项目运营期专项债券本息合计为 15,5700.00万元，利息保障倍数为1.25，拥有充足的盈余资金，项目收益完全能实现融资自求平衡。</w:t>
      </w:r>
    </w:p>
    <w:p w14:paraId="518B0321">
      <w:pPr>
        <w:pStyle w:val="25"/>
        <w:keepNext w:val="0"/>
        <w:keepLines w:val="0"/>
        <w:pageBreakBefore w:val="0"/>
        <w:tabs>
          <w:tab w:val="left" w:pos="312"/>
        </w:tabs>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sz w:val="30"/>
          <w:szCs w:val="30"/>
        </w:rPr>
        <w:t>项目资金测算平衡表  单位：万元</w:t>
      </w:r>
    </w:p>
    <w:tbl>
      <w:tblPr>
        <w:tblStyle w:val="14"/>
        <w:tblW w:w="4998"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198"/>
        <w:gridCol w:w="1110"/>
        <w:gridCol w:w="1110"/>
        <w:gridCol w:w="1020"/>
        <w:gridCol w:w="1020"/>
        <w:gridCol w:w="931"/>
        <w:gridCol w:w="931"/>
        <w:gridCol w:w="931"/>
        <w:gridCol w:w="931"/>
        <w:gridCol w:w="931"/>
        <w:gridCol w:w="1020"/>
        <w:gridCol w:w="1020"/>
        <w:gridCol w:w="1021"/>
        <w:gridCol w:w="1021"/>
      </w:tblGrid>
      <w:tr w14:paraId="723B58E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199" w:type="dxa"/>
            <w:vMerge w:val="restart"/>
            <w:tcBorders>
              <w:top w:val="single" w:color="000000" w:sz="4" w:space="0"/>
              <w:left w:val="single" w:color="000000" w:sz="4" w:space="0"/>
              <w:bottom w:val="single" w:color="000000" w:sz="4" w:space="0"/>
              <w:right w:val="single" w:color="000000" w:sz="4" w:space="0"/>
            </w:tcBorders>
            <w:shd w:val="clear" w:color="auto" w:fill="BEBEBE"/>
            <w:vAlign w:val="center"/>
          </w:tcPr>
          <w:p w14:paraId="518A006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项目</w:t>
            </w:r>
          </w:p>
        </w:tc>
        <w:tc>
          <w:tcPr>
            <w:tcW w:w="2220" w:type="dxa"/>
            <w:gridSpan w:val="2"/>
            <w:tcBorders>
              <w:top w:val="single" w:color="000000" w:sz="4" w:space="0"/>
              <w:left w:val="nil"/>
              <w:bottom w:val="single" w:color="000000" w:sz="4" w:space="0"/>
              <w:right w:val="single" w:color="000000" w:sz="4" w:space="0"/>
            </w:tcBorders>
            <w:shd w:val="clear" w:color="auto" w:fill="BEBEBE"/>
            <w:vAlign w:val="center"/>
          </w:tcPr>
          <w:p w14:paraId="0844365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合计 </w:t>
            </w:r>
          </w:p>
        </w:tc>
        <w:tc>
          <w:tcPr>
            <w:tcW w:w="1020" w:type="dxa"/>
            <w:vMerge w:val="restart"/>
            <w:tcBorders>
              <w:top w:val="single" w:color="000000" w:sz="4" w:space="0"/>
              <w:left w:val="single" w:color="000000" w:sz="4" w:space="0"/>
              <w:bottom w:val="single" w:color="000000" w:sz="4" w:space="0"/>
              <w:right w:val="single" w:color="000000" w:sz="4" w:space="0"/>
            </w:tcBorders>
            <w:shd w:val="clear" w:color="auto" w:fill="BEBEBE"/>
            <w:vAlign w:val="center"/>
          </w:tcPr>
          <w:p w14:paraId="3FBF356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第一年 </w:t>
            </w:r>
          </w:p>
        </w:tc>
        <w:tc>
          <w:tcPr>
            <w:tcW w:w="1020" w:type="dxa"/>
            <w:vMerge w:val="restart"/>
            <w:tcBorders>
              <w:top w:val="single" w:color="000000" w:sz="4" w:space="0"/>
              <w:left w:val="single" w:color="000000" w:sz="4" w:space="0"/>
              <w:bottom w:val="single" w:color="000000" w:sz="4" w:space="0"/>
              <w:right w:val="single" w:color="000000" w:sz="4" w:space="0"/>
            </w:tcBorders>
            <w:shd w:val="clear" w:color="auto" w:fill="BEBEBE"/>
            <w:vAlign w:val="center"/>
          </w:tcPr>
          <w:p w14:paraId="40F085C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第二年 </w:t>
            </w:r>
          </w:p>
        </w:tc>
        <w:tc>
          <w:tcPr>
            <w:tcW w:w="931" w:type="dxa"/>
            <w:vMerge w:val="restart"/>
            <w:tcBorders>
              <w:top w:val="single" w:color="000000" w:sz="4" w:space="0"/>
              <w:left w:val="single" w:color="000000" w:sz="4" w:space="0"/>
              <w:bottom w:val="single" w:color="000000" w:sz="4" w:space="0"/>
              <w:right w:val="single" w:color="000000" w:sz="4" w:space="0"/>
            </w:tcBorders>
            <w:shd w:val="clear" w:color="auto" w:fill="BEBEBE"/>
            <w:vAlign w:val="center"/>
          </w:tcPr>
          <w:p w14:paraId="5C8A6CC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第三年 </w:t>
            </w:r>
          </w:p>
        </w:tc>
        <w:tc>
          <w:tcPr>
            <w:tcW w:w="931" w:type="dxa"/>
            <w:vMerge w:val="restart"/>
            <w:tcBorders>
              <w:top w:val="single" w:color="000000" w:sz="4" w:space="0"/>
              <w:left w:val="single" w:color="000000" w:sz="4" w:space="0"/>
              <w:bottom w:val="single" w:color="000000" w:sz="4" w:space="0"/>
              <w:right w:val="single" w:color="000000" w:sz="4" w:space="0"/>
            </w:tcBorders>
            <w:shd w:val="clear" w:color="auto" w:fill="BEBEBE"/>
            <w:vAlign w:val="center"/>
          </w:tcPr>
          <w:p w14:paraId="5A5CE8B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第四年 </w:t>
            </w:r>
          </w:p>
        </w:tc>
        <w:tc>
          <w:tcPr>
            <w:tcW w:w="931" w:type="dxa"/>
            <w:vMerge w:val="restart"/>
            <w:tcBorders>
              <w:top w:val="single" w:color="000000" w:sz="4" w:space="0"/>
              <w:left w:val="single" w:color="000000" w:sz="4" w:space="0"/>
              <w:bottom w:val="single" w:color="000000" w:sz="4" w:space="0"/>
              <w:right w:val="single" w:color="000000" w:sz="4" w:space="0"/>
            </w:tcBorders>
            <w:shd w:val="clear" w:color="auto" w:fill="BEBEBE"/>
            <w:vAlign w:val="center"/>
          </w:tcPr>
          <w:p w14:paraId="33F0B30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第五年 </w:t>
            </w:r>
          </w:p>
        </w:tc>
        <w:tc>
          <w:tcPr>
            <w:tcW w:w="931" w:type="dxa"/>
            <w:vMerge w:val="restart"/>
            <w:tcBorders>
              <w:top w:val="single" w:color="000000" w:sz="4" w:space="0"/>
              <w:left w:val="single" w:color="000000" w:sz="4" w:space="0"/>
              <w:bottom w:val="single" w:color="000000" w:sz="4" w:space="0"/>
              <w:right w:val="single" w:color="000000" w:sz="4" w:space="0"/>
            </w:tcBorders>
            <w:shd w:val="clear" w:color="auto" w:fill="BEBEBE"/>
            <w:vAlign w:val="center"/>
          </w:tcPr>
          <w:p w14:paraId="45507A6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第六年 </w:t>
            </w:r>
          </w:p>
        </w:tc>
        <w:tc>
          <w:tcPr>
            <w:tcW w:w="931" w:type="dxa"/>
            <w:vMerge w:val="restart"/>
            <w:tcBorders>
              <w:top w:val="single" w:color="000000" w:sz="4" w:space="0"/>
              <w:left w:val="single" w:color="000000" w:sz="4" w:space="0"/>
              <w:bottom w:val="single" w:color="000000" w:sz="4" w:space="0"/>
              <w:right w:val="single" w:color="000000" w:sz="4" w:space="0"/>
            </w:tcBorders>
            <w:shd w:val="clear" w:color="auto" w:fill="BEBEBE"/>
            <w:vAlign w:val="center"/>
          </w:tcPr>
          <w:p w14:paraId="7EC88B8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第七年 </w:t>
            </w:r>
          </w:p>
        </w:tc>
        <w:tc>
          <w:tcPr>
            <w:tcW w:w="1020" w:type="dxa"/>
            <w:vMerge w:val="restart"/>
            <w:tcBorders>
              <w:top w:val="single" w:color="000000" w:sz="4" w:space="0"/>
              <w:left w:val="single" w:color="000000" w:sz="4" w:space="0"/>
              <w:bottom w:val="single" w:color="000000" w:sz="4" w:space="0"/>
              <w:right w:val="single" w:color="000000" w:sz="4" w:space="0"/>
            </w:tcBorders>
            <w:shd w:val="clear" w:color="auto" w:fill="BEBEBE"/>
            <w:vAlign w:val="center"/>
          </w:tcPr>
          <w:p w14:paraId="5D4B77C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第八年 </w:t>
            </w:r>
          </w:p>
        </w:tc>
        <w:tc>
          <w:tcPr>
            <w:tcW w:w="1020" w:type="dxa"/>
            <w:vMerge w:val="restart"/>
            <w:tcBorders>
              <w:top w:val="single" w:color="000000" w:sz="4" w:space="0"/>
              <w:left w:val="single" w:color="000000" w:sz="4" w:space="0"/>
              <w:bottom w:val="single" w:color="000000" w:sz="4" w:space="0"/>
              <w:right w:val="single" w:color="000000" w:sz="4" w:space="0"/>
            </w:tcBorders>
            <w:shd w:val="clear" w:color="auto" w:fill="BEBEBE"/>
            <w:vAlign w:val="center"/>
          </w:tcPr>
          <w:p w14:paraId="02B13D0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第九年 </w:t>
            </w:r>
          </w:p>
        </w:tc>
        <w:tc>
          <w:tcPr>
            <w:tcW w:w="1021" w:type="dxa"/>
            <w:vMerge w:val="restart"/>
            <w:tcBorders>
              <w:top w:val="single" w:color="000000" w:sz="4" w:space="0"/>
              <w:left w:val="single" w:color="000000" w:sz="4" w:space="0"/>
              <w:bottom w:val="single" w:color="000000" w:sz="4" w:space="0"/>
              <w:right w:val="single" w:color="000000" w:sz="4" w:space="0"/>
            </w:tcBorders>
            <w:shd w:val="clear" w:color="auto" w:fill="BEBEBE"/>
            <w:vAlign w:val="center"/>
          </w:tcPr>
          <w:p w14:paraId="36F1699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第十年 </w:t>
            </w:r>
          </w:p>
        </w:tc>
        <w:tc>
          <w:tcPr>
            <w:tcW w:w="1021" w:type="dxa"/>
            <w:vMerge w:val="restart"/>
            <w:tcBorders>
              <w:top w:val="single" w:color="000000" w:sz="4" w:space="0"/>
              <w:left w:val="single" w:color="000000" w:sz="4" w:space="0"/>
              <w:bottom w:val="single" w:color="000000" w:sz="4" w:space="0"/>
              <w:right w:val="single" w:color="000000" w:sz="4" w:space="0"/>
            </w:tcBorders>
            <w:shd w:val="clear" w:color="auto" w:fill="BEBEBE"/>
            <w:vAlign w:val="center"/>
          </w:tcPr>
          <w:p w14:paraId="5097DE1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第十一年 </w:t>
            </w:r>
          </w:p>
        </w:tc>
      </w:tr>
      <w:tr w14:paraId="5902B4F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0" w:hRule="atLeast"/>
          <w:jc w:val="center"/>
        </w:trPr>
        <w:tc>
          <w:tcPr>
            <w:tcW w:w="119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49C936B">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110" w:type="dxa"/>
            <w:tcBorders>
              <w:top w:val="single" w:color="000000" w:sz="4" w:space="0"/>
              <w:left w:val="single" w:color="000000" w:sz="4" w:space="0"/>
              <w:bottom w:val="single" w:color="000000" w:sz="4" w:space="0"/>
              <w:right w:val="single" w:color="000000" w:sz="4" w:space="0"/>
            </w:tcBorders>
            <w:shd w:val="clear" w:color="auto" w:fill="BEBEBE"/>
            <w:vAlign w:val="center"/>
          </w:tcPr>
          <w:p w14:paraId="562E3E4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建设期 </w:t>
            </w:r>
          </w:p>
        </w:tc>
        <w:tc>
          <w:tcPr>
            <w:tcW w:w="1110" w:type="dxa"/>
            <w:tcBorders>
              <w:top w:val="single" w:color="000000" w:sz="4" w:space="0"/>
              <w:left w:val="single" w:color="000000" w:sz="4" w:space="0"/>
              <w:bottom w:val="single" w:color="000000" w:sz="4" w:space="0"/>
              <w:right w:val="single" w:color="000000" w:sz="4" w:space="0"/>
            </w:tcBorders>
            <w:shd w:val="clear" w:color="auto" w:fill="BEBEBE"/>
            <w:vAlign w:val="center"/>
          </w:tcPr>
          <w:p w14:paraId="4952EE4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运营期 </w:t>
            </w:r>
          </w:p>
        </w:tc>
        <w:tc>
          <w:tcPr>
            <w:tcW w:w="1020" w:type="dxa"/>
            <w:vMerge w:val="continue"/>
            <w:tcBorders>
              <w:top w:val="single" w:color="000000" w:sz="4" w:space="0"/>
              <w:left w:val="single" w:color="000000" w:sz="4" w:space="0"/>
              <w:bottom w:val="single" w:color="000000" w:sz="4" w:space="0"/>
              <w:right w:val="single" w:color="000000" w:sz="4" w:space="0"/>
            </w:tcBorders>
            <w:vAlign w:val="center"/>
          </w:tcPr>
          <w:p w14:paraId="40D03D31">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vMerge w:val="continue"/>
            <w:tcBorders>
              <w:top w:val="single" w:color="000000" w:sz="4" w:space="0"/>
              <w:left w:val="single" w:color="000000" w:sz="4" w:space="0"/>
              <w:bottom w:val="single" w:color="000000" w:sz="4" w:space="0"/>
              <w:right w:val="single" w:color="000000" w:sz="4" w:space="0"/>
            </w:tcBorders>
            <w:vAlign w:val="center"/>
          </w:tcPr>
          <w:p w14:paraId="577A795B">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vMerge w:val="continue"/>
            <w:tcBorders>
              <w:top w:val="single" w:color="000000" w:sz="4" w:space="0"/>
              <w:left w:val="single" w:color="000000" w:sz="4" w:space="0"/>
              <w:bottom w:val="single" w:color="000000" w:sz="4" w:space="0"/>
              <w:right w:val="single" w:color="000000" w:sz="4" w:space="0"/>
            </w:tcBorders>
            <w:vAlign w:val="center"/>
          </w:tcPr>
          <w:p w14:paraId="3FED528F">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vMerge w:val="continue"/>
            <w:tcBorders>
              <w:top w:val="single" w:color="000000" w:sz="4" w:space="0"/>
              <w:left w:val="single" w:color="000000" w:sz="4" w:space="0"/>
              <w:bottom w:val="single" w:color="000000" w:sz="4" w:space="0"/>
              <w:right w:val="single" w:color="000000" w:sz="4" w:space="0"/>
            </w:tcBorders>
            <w:vAlign w:val="center"/>
          </w:tcPr>
          <w:p w14:paraId="3A4C92A1">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vMerge w:val="continue"/>
            <w:tcBorders>
              <w:top w:val="single" w:color="000000" w:sz="4" w:space="0"/>
              <w:left w:val="single" w:color="000000" w:sz="4" w:space="0"/>
              <w:bottom w:val="single" w:color="000000" w:sz="4" w:space="0"/>
              <w:right w:val="single" w:color="000000" w:sz="4" w:space="0"/>
            </w:tcBorders>
            <w:vAlign w:val="center"/>
          </w:tcPr>
          <w:p w14:paraId="20DB04E5">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vMerge w:val="continue"/>
            <w:tcBorders>
              <w:top w:val="single" w:color="000000" w:sz="4" w:space="0"/>
              <w:left w:val="single" w:color="000000" w:sz="4" w:space="0"/>
              <w:bottom w:val="single" w:color="000000" w:sz="4" w:space="0"/>
              <w:right w:val="single" w:color="000000" w:sz="4" w:space="0"/>
            </w:tcBorders>
            <w:vAlign w:val="center"/>
          </w:tcPr>
          <w:p w14:paraId="5948E35B">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vMerge w:val="continue"/>
            <w:tcBorders>
              <w:top w:val="single" w:color="000000" w:sz="4" w:space="0"/>
              <w:left w:val="single" w:color="000000" w:sz="4" w:space="0"/>
              <w:bottom w:val="single" w:color="000000" w:sz="4" w:space="0"/>
              <w:right w:val="single" w:color="000000" w:sz="4" w:space="0"/>
            </w:tcBorders>
            <w:vAlign w:val="center"/>
          </w:tcPr>
          <w:p w14:paraId="188F166A">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vMerge w:val="continue"/>
            <w:tcBorders>
              <w:top w:val="single" w:color="000000" w:sz="4" w:space="0"/>
              <w:left w:val="single" w:color="000000" w:sz="4" w:space="0"/>
              <w:bottom w:val="single" w:color="000000" w:sz="4" w:space="0"/>
              <w:right w:val="single" w:color="000000" w:sz="4" w:space="0"/>
            </w:tcBorders>
            <w:vAlign w:val="center"/>
          </w:tcPr>
          <w:p w14:paraId="3EE6A3FD">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vMerge w:val="continue"/>
            <w:tcBorders>
              <w:top w:val="single" w:color="000000" w:sz="4" w:space="0"/>
              <w:left w:val="single" w:color="000000" w:sz="4" w:space="0"/>
              <w:bottom w:val="single" w:color="000000" w:sz="4" w:space="0"/>
              <w:right w:val="single" w:color="000000" w:sz="4" w:space="0"/>
            </w:tcBorders>
            <w:vAlign w:val="center"/>
          </w:tcPr>
          <w:p w14:paraId="23311DBA">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vMerge w:val="continue"/>
            <w:tcBorders>
              <w:top w:val="single" w:color="000000" w:sz="4" w:space="0"/>
              <w:left w:val="single" w:color="000000" w:sz="4" w:space="0"/>
              <w:bottom w:val="single" w:color="000000" w:sz="4" w:space="0"/>
              <w:right w:val="single" w:color="000000" w:sz="4" w:space="0"/>
            </w:tcBorders>
            <w:vAlign w:val="center"/>
          </w:tcPr>
          <w:p w14:paraId="0AE9BC9E">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vMerge w:val="continue"/>
            <w:tcBorders>
              <w:top w:val="single" w:color="000000" w:sz="4" w:space="0"/>
              <w:left w:val="single" w:color="000000" w:sz="4" w:space="0"/>
              <w:bottom w:val="single" w:color="000000" w:sz="4" w:space="0"/>
              <w:right w:val="single" w:color="000000" w:sz="4" w:space="0"/>
            </w:tcBorders>
            <w:vAlign w:val="center"/>
          </w:tcPr>
          <w:p w14:paraId="077E7BDD">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r>
      <w:tr w14:paraId="4F71066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4E2BA11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经营活动产生的现金净流量</w:t>
            </w:r>
          </w:p>
        </w:tc>
        <w:tc>
          <w:tcPr>
            <w:tcW w:w="1110" w:type="dxa"/>
            <w:tcBorders>
              <w:top w:val="single" w:color="000000" w:sz="4" w:space="0"/>
              <w:left w:val="single" w:color="000000" w:sz="4" w:space="0"/>
              <w:bottom w:val="single" w:color="000000" w:sz="4" w:space="0"/>
              <w:right w:val="single" w:color="000000" w:sz="4" w:space="0"/>
            </w:tcBorders>
            <w:vAlign w:val="center"/>
          </w:tcPr>
          <w:p w14:paraId="42952EE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23B673E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19,468.66 </w:t>
            </w:r>
          </w:p>
        </w:tc>
        <w:tc>
          <w:tcPr>
            <w:tcW w:w="1020" w:type="dxa"/>
            <w:tcBorders>
              <w:top w:val="single" w:color="000000" w:sz="4" w:space="0"/>
              <w:left w:val="single" w:color="000000" w:sz="4" w:space="0"/>
              <w:bottom w:val="single" w:color="000000" w:sz="4" w:space="0"/>
              <w:right w:val="single" w:color="000000" w:sz="4" w:space="0"/>
            </w:tcBorders>
            <w:vAlign w:val="center"/>
          </w:tcPr>
          <w:p w14:paraId="4F258FC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0B07A28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262721B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2,003.89 </w:t>
            </w:r>
          </w:p>
        </w:tc>
        <w:tc>
          <w:tcPr>
            <w:tcW w:w="931" w:type="dxa"/>
            <w:tcBorders>
              <w:top w:val="single" w:color="000000" w:sz="4" w:space="0"/>
              <w:left w:val="single" w:color="000000" w:sz="4" w:space="0"/>
              <w:bottom w:val="single" w:color="000000" w:sz="4" w:space="0"/>
              <w:right w:val="single" w:color="000000" w:sz="4" w:space="0"/>
            </w:tcBorders>
            <w:vAlign w:val="center"/>
          </w:tcPr>
          <w:p w14:paraId="377E62F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2,020.73 </w:t>
            </w:r>
          </w:p>
        </w:tc>
        <w:tc>
          <w:tcPr>
            <w:tcW w:w="931" w:type="dxa"/>
            <w:tcBorders>
              <w:top w:val="single" w:color="000000" w:sz="4" w:space="0"/>
              <w:left w:val="single" w:color="000000" w:sz="4" w:space="0"/>
              <w:bottom w:val="single" w:color="000000" w:sz="4" w:space="0"/>
              <w:right w:val="single" w:color="000000" w:sz="4" w:space="0"/>
            </w:tcBorders>
            <w:vAlign w:val="center"/>
          </w:tcPr>
          <w:p w14:paraId="14A9989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2,112.97 </w:t>
            </w:r>
          </w:p>
        </w:tc>
        <w:tc>
          <w:tcPr>
            <w:tcW w:w="931" w:type="dxa"/>
            <w:tcBorders>
              <w:top w:val="single" w:color="000000" w:sz="4" w:space="0"/>
              <w:left w:val="single" w:color="000000" w:sz="4" w:space="0"/>
              <w:bottom w:val="single" w:color="000000" w:sz="4" w:space="0"/>
              <w:right w:val="single" w:color="000000" w:sz="4" w:space="0"/>
            </w:tcBorders>
            <w:vAlign w:val="center"/>
          </w:tcPr>
          <w:p w14:paraId="47A42F2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2,131.01 </w:t>
            </w:r>
          </w:p>
        </w:tc>
        <w:tc>
          <w:tcPr>
            <w:tcW w:w="931" w:type="dxa"/>
            <w:tcBorders>
              <w:top w:val="single" w:color="000000" w:sz="4" w:space="0"/>
              <w:left w:val="single" w:color="000000" w:sz="4" w:space="0"/>
              <w:bottom w:val="single" w:color="000000" w:sz="4" w:space="0"/>
              <w:right w:val="single" w:color="000000" w:sz="4" w:space="0"/>
            </w:tcBorders>
            <w:vAlign w:val="center"/>
          </w:tcPr>
          <w:p w14:paraId="6CE2A6D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2,134.23 </w:t>
            </w:r>
          </w:p>
        </w:tc>
        <w:tc>
          <w:tcPr>
            <w:tcW w:w="1020" w:type="dxa"/>
            <w:tcBorders>
              <w:top w:val="single" w:color="000000" w:sz="4" w:space="0"/>
              <w:left w:val="single" w:color="000000" w:sz="4" w:space="0"/>
              <w:bottom w:val="single" w:color="000000" w:sz="4" w:space="0"/>
              <w:right w:val="single" w:color="000000" w:sz="4" w:space="0"/>
            </w:tcBorders>
            <w:vAlign w:val="center"/>
          </w:tcPr>
          <w:p w14:paraId="59AD582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2,234.34 </w:t>
            </w:r>
          </w:p>
        </w:tc>
        <w:tc>
          <w:tcPr>
            <w:tcW w:w="1020" w:type="dxa"/>
            <w:tcBorders>
              <w:top w:val="single" w:color="000000" w:sz="4" w:space="0"/>
              <w:left w:val="single" w:color="000000" w:sz="4" w:space="0"/>
              <w:bottom w:val="single" w:color="000000" w:sz="4" w:space="0"/>
              <w:right w:val="single" w:color="000000" w:sz="4" w:space="0"/>
            </w:tcBorders>
            <w:vAlign w:val="center"/>
          </w:tcPr>
          <w:p w14:paraId="12196E1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2,253.86 </w:t>
            </w:r>
          </w:p>
        </w:tc>
        <w:tc>
          <w:tcPr>
            <w:tcW w:w="1021" w:type="dxa"/>
            <w:tcBorders>
              <w:top w:val="single" w:color="000000" w:sz="4" w:space="0"/>
              <w:left w:val="single" w:color="000000" w:sz="4" w:space="0"/>
              <w:bottom w:val="single" w:color="000000" w:sz="4" w:space="0"/>
              <w:right w:val="single" w:color="000000" w:sz="4" w:space="0"/>
            </w:tcBorders>
            <w:vAlign w:val="center"/>
          </w:tcPr>
          <w:p w14:paraId="3407663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2,273.57 </w:t>
            </w:r>
          </w:p>
        </w:tc>
        <w:tc>
          <w:tcPr>
            <w:tcW w:w="1021" w:type="dxa"/>
            <w:tcBorders>
              <w:top w:val="single" w:color="000000" w:sz="4" w:space="0"/>
              <w:left w:val="single" w:color="000000" w:sz="4" w:space="0"/>
              <w:bottom w:val="single" w:color="000000" w:sz="4" w:space="0"/>
              <w:right w:val="single" w:color="000000" w:sz="4" w:space="0"/>
            </w:tcBorders>
            <w:vAlign w:val="center"/>
          </w:tcPr>
          <w:p w14:paraId="12E254A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2,304.08 </w:t>
            </w:r>
          </w:p>
        </w:tc>
      </w:tr>
      <w:tr w14:paraId="426759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583DF12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一、经营活动产生的现金流入</w:t>
            </w:r>
          </w:p>
        </w:tc>
        <w:tc>
          <w:tcPr>
            <w:tcW w:w="1110" w:type="dxa"/>
            <w:tcBorders>
              <w:top w:val="single" w:color="000000" w:sz="4" w:space="0"/>
              <w:left w:val="single" w:color="000000" w:sz="4" w:space="0"/>
              <w:bottom w:val="single" w:color="000000" w:sz="4" w:space="0"/>
              <w:right w:val="single" w:color="000000" w:sz="4" w:space="0"/>
            </w:tcBorders>
            <w:vAlign w:val="center"/>
          </w:tcPr>
          <w:p w14:paraId="280A860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0CD9B14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33,561.31 </w:t>
            </w:r>
          </w:p>
        </w:tc>
        <w:tc>
          <w:tcPr>
            <w:tcW w:w="1020" w:type="dxa"/>
            <w:tcBorders>
              <w:top w:val="single" w:color="000000" w:sz="4" w:space="0"/>
              <w:left w:val="single" w:color="000000" w:sz="4" w:space="0"/>
              <w:bottom w:val="single" w:color="000000" w:sz="4" w:space="0"/>
              <w:right w:val="single" w:color="000000" w:sz="4" w:space="0"/>
            </w:tcBorders>
            <w:vAlign w:val="center"/>
          </w:tcPr>
          <w:p w14:paraId="59F2F91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6645C7B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3BAC39F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3,441.00 </w:t>
            </w:r>
          </w:p>
        </w:tc>
        <w:tc>
          <w:tcPr>
            <w:tcW w:w="931" w:type="dxa"/>
            <w:tcBorders>
              <w:top w:val="single" w:color="000000" w:sz="4" w:space="0"/>
              <w:left w:val="single" w:color="000000" w:sz="4" w:space="0"/>
              <w:bottom w:val="single" w:color="000000" w:sz="4" w:space="0"/>
              <w:right w:val="single" w:color="000000" w:sz="4" w:space="0"/>
            </w:tcBorders>
            <w:vAlign w:val="center"/>
          </w:tcPr>
          <w:p w14:paraId="1ADCDF4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3,466.41 </w:t>
            </w:r>
          </w:p>
        </w:tc>
        <w:tc>
          <w:tcPr>
            <w:tcW w:w="931" w:type="dxa"/>
            <w:tcBorders>
              <w:top w:val="single" w:color="000000" w:sz="4" w:space="0"/>
              <w:left w:val="single" w:color="000000" w:sz="4" w:space="0"/>
              <w:bottom w:val="single" w:color="000000" w:sz="4" w:space="0"/>
              <w:right w:val="single" w:color="000000" w:sz="4" w:space="0"/>
            </w:tcBorders>
            <w:vAlign w:val="center"/>
          </w:tcPr>
          <w:p w14:paraId="1A5749D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3,621.68 </w:t>
            </w:r>
          </w:p>
        </w:tc>
        <w:tc>
          <w:tcPr>
            <w:tcW w:w="931" w:type="dxa"/>
            <w:tcBorders>
              <w:top w:val="single" w:color="000000" w:sz="4" w:space="0"/>
              <w:left w:val="single" w:color="000000" w:sz="4" w:space="0"/>
              <w:bottom w:val="single" w:color="000000" w:sz="4" w:space="0"/>
              <w:right w:val="single" w:color="000000" w:sz="4" w:space="0"/>
            </w:tcBorders>
            <w:vAlign w:val="center"/>
          </w:tcPr>
          <w:p w14:paraId="227C651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3,648.89 </w:t>
            </w:r>
          </w:p>
        </w:tc>
        <w:tc>
          <w:tcPr>
            <w:tcW w:w="931" w:type="dxa"/>
            <w:tcBorders>
              <w:top w:val="single" w:color="000000" w:sz="4" w:space="0"/>
              <w:left w:val="single" w:color="000000" w:sz="4" w:space="0"/>
              <w:bottom w:val="single" w:color="000000" w:sz="4" w:space="0"/>
              <w:right w:val="single" w:color="000000" w:sz="4" w:space="0"/>
            </w:tcBorders>
            <w:vAlign w:val="center"/>
          </w:tcPr>
          <w:p w14:paraId="10E3EA5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3,676.38 </w:t>
            </w:r>
          </w:p>
        </w:tc>
        <w:tc>
          <w:tcPr>
            <w:tcW w:w="1020" w:type="dxa"/>
            <w:tcBorders>
              <w:top w:val="single" w:color="000000" w:sz="4" w:space="0"/>
              <w:left w:val="single" w:color="000000" w:sz="4" w:space="0"/>
              <w:bottom w:val="single" w:color="000000" w:sz="4" w:space="0"/>
              <w:right w:val="single" w:color="000000" w:sz="4" w:space="0"/>
            </w:tcBorders>
            <w:vAlign w:val="center"/>
          </w:tcPr>
          <w:p w14:paraId="0D2EB55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3,844.35 </w:t>
            </w:r>
          </w:p>
        </w:tc>
        <w:tc>
          <w:tcPr>
            <w:tcW w:w="1020" w:type="dxa"/>
            <w:tcBorders>
              <w:top w:val="single" w:color="000000" w:sz="4" w:space="0"/>
              <w:left w:val="single" w:color="000000" w:sz="4" w:space="0"/>
              <w:bottom w:val="single" w:color="000000" w:sz="4" w:space="0"/>
              <w:right w:val="single" w:color="000000" w:sz="4" w:space="0"/>
            </w:tcBorders>
            <w:vAlign w:val="center"/>
          </w:tcPr>
          <w:p w14:paraId="0658D91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3,873.80 </w:t>
            </w:r>
          </w:p>
        </w:tc>
        <w:tc>
          <w:tcPr>
            <w:tcW w:w="1021" w:type="dxa"/>
            <w:tcBorders>
              <w:top w:val="single" w:color="000000" w:sz="4" w:space="0"/>
              <w:left w:val="single" w:color="000000" w:sz="4" w:space="0"/>
              <w:bottom w:val="single" w:color="000000" w:sz="4" w:space="0"/>
              <w:right w:val="single" w:color="000000" w:sz="4" w:space="0"/>
            </w:tcBorders>
            <w:vAlign w:val="center"/>
          </w:tcPr>
          <w:p w14:paraId="78B1ECB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3,903.54 </w:t>
            </w:r>
          </w:p>
        </w:tc>
        <w:tc>
          <w:tcPr>
            <w:tcW w:w="1021" w:type="dxa"/>
            <w:tcBorders>
              <w:top w:val="single" w:color="000000" w:sz="4" w:space="0"/>
              <w:left w:val="single" w:color="000000" w:sz="4" w:space="0"/>
              <w:bottom w:val="single" w:color="000000" w:sz="4" w:space="0"/>
              <w:right w:val="single" w:color="000000" w:sz="4" w:space="0"/>
            </w:tcBorders>
            <w:vAlign w:val="center"/>
          </w:tcPr>
          <w:p w14:paraId="4567AE2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4,085.25 </w:t>
            </w:r>
          </w:p>
        </w:tc>
      </w:tr>
      <w:tr w14:paraId="15039F1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34CF748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（一）经营收入</w:t>
            </w:r>
          </w:p>
        </w:tc>
        <w:tc>
          <w:tcPr>
            <w:tcW w:w="1110" w:type="dxa"/>
            <w:tcBorders>
              <w:top w:val="single" w:color="000000" w:sz="4" w:space="0"/>
              <w:left w:val="single" w:color="000000" w:sz="4" w:space="0"/>
              <w:bottom w:val="single" w:color="000000" w:sz="4" w:space="0"/>
              <w:right w:val="single" w:color="000000" w:sz="4" w:space="0"/>
            </w:tcBorders>
            <w:vAlign w:val="center"/>
          </w:tcPr>
          <w:p w14:paraId="421095A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6C44279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33,102.81 </w:t>
            </w:r>
          </w:p>
        </w:tc>
        <w:tc>
          <w:tcPr>
            <w:tcW w:w="1020" w:type="dxa"/>
            <w:tcBorders>
              <w:top w:val="single" w:color="000000" w:sz="4" w:space="0"/>
              <w:left w:val="single" w:color="000000" w:sz="4" w:space="0"/>
              <w:bottom w:val="single" w:color="000000" w:sz="4" w:space="0"/>
              <w:right w:val="single" w:color="000000" w:sz="4" w:space="0"/>
            </w:tcBorders>
            <w:vAlign w:val="center"/>
          </w:tcPr>
          <w:p w14:paraId="62A1AE8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1E699CF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2390707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3,390.06 </w:t>
            </w:r>
          </w:p>
        </w:tc>
        <w:tc>
          <w:tcPr>
            <w:tcW w:w="931" w:type="dxa"/>
            <w:tcBorders>
              <w:top w:val="single" w:color="000000" w:sz="4" w:space="0"/>
              <w:left w:val="single" w:color="000000" w:sz="4" w:space="0"/>
              <w:bottom w:val="single" w:color="000000" w:sz="4" w:space="0"/>
              <w:right w:val="single" w:color="000000" w:sz="4" w:space="0"/>
            </w:tcBorders>
            <w:vAlign w:val="center"/>
          </w:tcPr>
          <w:p w14:paraId="4BAB1F1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3,415.47 </w:t>
            </w:r>
          </w:p>
        </w:tc>
        <w:tc>
          <w:tcPr>
            <w:tcW w:w="931" w:type="dxa"/>
            <w:tcBorders>
              <w:top w:val="single" w:color="000000" w:sz="4" w:space="0"/>
              <w:left w:val="single" w:color="000000" w:sz="4" w:space="0"/>
              <w:bottom w:val="single" w:color="000000" w:sz="4" w:space="0"/>
              <w:right w:val="single" w:color="000000" w:sz="4" w:space="0"/>
            </w:tcBorders>
            <w:vAlign w:val="center"/>
          </w:tcPr>
          <w:p w14:paraId="3249017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3,570.73 </w:t>
            </w:r>
          </w:p>
        </w:tc>
        <w:tc>
          <w:tcPr>
            <w:tcW w:w="931" w:type="dxa"/>
            <w:tcBorders>
              <w:top w:val="single" w:color="000000" w:sz="4" w:space="0"/>
              <w:left w:val="single" w:color="000000" w:sz="4" w:space="0"/>
              <w:bottom w:val="single" w:color="000000" w:sz="4" w:space="0"/>
              <w:right w:val="single" w:color="000000" w:sz="4" w:space="0"/>
            </w:tcBorders>
            <w:vAlign w:val="center"/>
          </w:tcPr>
          <w:p w14:paraId="7347146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3,597.95 </w:t>
            </w:r>
          </w:p>
        </w:tc>
        <w:tc>
          <w:tcPr>
            <w:tcW w:w="931" w:type="dxa"/>
            <w:tcBorders>
              <w:top w:val="single" w:color="000000" w:sz="4" w:space="0"/>
              <w:left w:val="single" w:color="000000" w:sz="4" w:space="0"/>
              <w:bottom w:val="single" w:color="000000" w:sz="4" w:space="0"/>
              <w:right w:val="single" w:color="000000" w:sz="4" w:space="0"/>
            </w:tcBorders>
            <w:vAlign w:val="center"/>
          </w:tcPr>
          <w:p w14:paraId="0D28613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3,625.44 </w:t>
            </w:r>
          </w:p>
        </w:tc>
        <w:tc>
          <w:tcPr>
            <w:tcW w:w="1020" w:type="dxa"/>
            <w:tcBorders>
              <w:top w:val="single" w:color="000000" w:sz="4" w:space="0"/>
              <w:left w:val="single" w:color="000000" w:sz="4" w:space="0"/>
              <w:bottom w:val="single" w:color="000000" w:sz="4" w:space="0"/>
              <w:right w:val="single" w:color="000000" w:sz="4" w:space="0"/>
            </w:tcBorders>
            <w:vAlign w:val="center"/>
          </w:tcPr>
          <w:p w14:paraId="5C14E18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3,793.41 </w:t>
            </w:r>
          </w:p>
        </w:tc>
        <w:tc>
          <w:tcPr>
            <w:tcW w:w="1020" w:type="dxa"/>
            <w:tcBorders>
              <w:top w:val="single" w:color="000000" w:sz="4" w:space="0"/>
              <w:left w:val="single" w:color="000000" w:sz="4" w:space="0"/>
              <w:bottom w:val="single" w:color="000000" w:sz="4" w:space="0"/>
              <w:right w:val="single" w:color="000000" w:sz="4" w:space="0"/>
            </w:tcBorders>
            <w:vAlign w:val="center"/>
          </w:tcPr>
          <w:p w14:paraId="49538B4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3,822.85 </w:t>
            </w:r>
          </w:p>
        </w:tc>
        <w:tc>
          <w:tcPr>
            <w:tcW w:w="1021" w:type="dxa"/>
            <w:tcBorders>
              <w:top w:val="single" w:color="000000" w:sz="4" w:space="0"/>
              <w:left w:val="single" w:color="000000" w:sz="4" w:space="0"/>
              <w:bottom w:val="single" w:color="000000" w:sz="4" w:space="0"/>
              <w:right w:val="single" w:color="000000" w:sz="4" w:space="0"/>
            </w:tcBorders>
            <w:vAlign w:val="center"/>
          </w:tcPr>
          <w:p w14:paraId="6F4DDC9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3,852.59 </w:t>
            </w:r>
          </w:p>
        </w:tc>
        <w:tc>
          <w:tcPr>
            <w:tcW w:w="1021" w:type="dxa"/>
            <w:tcBorders>
              <w:top w:val="single" w:color="000000" w:sz="4" w:space="0"/>
              <w:left w:val="single" w:color="000000" w:sz="4" w:space="0"/>
              <w:bottom w:val="single" w:color="000000" w:sz="4" w:space="0"/>
              <w:right w:val="single" w:color="000000" w:sz="4" w:space="0"/>
            </w:tcBorders>
            <w:vAlign w:val="center"/>
          </w:tcPr>
          <w:p w14:paraId="3028F52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4,034.31 </w:t>
            </w:r>
          </w:p>
        </w:tc>
      </w:tr>
      <w:tr w14:paraId="10A0A33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60A603B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1、育苗育种收入</w:t>
            </w:r>
          </w:p>
        </w:tc>
        <w:tc>
          <w:tcPr>
            <w:tcW w:w="1110" w:type="dxa"/>
            <w:tcBorders>
              <w:top w:val="single" w:color="000000" w:sz="4" w:space="0"/>
              <w:left w:val="single" w:color="000000" w:sz="4" w:space="0"/>
              <w:bottom w:val="single" w:color="000000" w:sz="4" w:space="0"/>
              <w:right w:val="single" w:color="000000" w:sz="4" w:space="0"/>
            </w:tcBorders>
            <w:vAlign w:val="center"/>
          </w:tcPr>
          <w:p w14:paraId="52E5379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37A4533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25,461.31 </w:t>
            </w:r>
          </w:p>
        </w:tc>
        <w:tc>
          <w:tcPr>
            <w:tcW w:w="1020" w:type="dxa"/>
            <w:tcBorders>
              <w:top w:val="single" w:color="000000" w:sz="4" w:space="0"/>
              <w:left w:val="single" w:color="000000" w:sz="4" w:space="0"/>
              <w:bottom w:val="single" w:color="000000" w:sz="4" w:space="0"/>
              <w:right w:val="single" w:color="000000" w:sz="4" w:space="0"/>
            </w:tcBorders>
            <w:vAlign w:val="center"/>
          </w:tcPr>
          <w:p w14:paraId="6361C60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66C5199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7C71A09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2,541.00 </w:t>
            </w:r>
          </w:p>
        </w:tc>
        <w:tc>
          <w:tcPr>
            <w:tcW w:w="931" w:type="dxa"/>
            <w:tcBorders>
              <w:top w:val="single" w:color="000000" w:sz="4" w:space="0"/>
              <w:left w:val="single" w:color="000000" w:sz="4" w:space="0"/>
              <w:bottom w:val="single" w:color="000000" w:sz="4" w:space="0"/>
              <w:right w:val="single" w:color="000000" w:sz="4" w:space="0"/>
            </w:tcBorders>
            <w:vAlign w:val="center"/>
          </w:tcPr>
          <w:p w14:paraId="7C33294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2,566.41 </w:t>
            </w:r>
          </w:p>
        </w:tc>
        <w:tc>
          <w:tcPr>
            <w:tcW w:w="931" w:type="dxa"/>
            <w:tcBorders>
              <w:top w:val="single" w:color="000000" w:sz="4" w:space="0"/>
              <w:left w:val="single" w:color="000000" w:sz="4" w:space="0"/>
              <w:bottom w:val="single" w:color="000000" w:sz="4" w:space="0"/>
              <w:right w:val="single" w:color="000000" w:sz="4" w:space="0"/>
            </w:tcBorders>
            <w:vAlign w:val="center"/>
          </w:tcPr>
          <w:p w14:paraId="521A7E1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2,721.68 </w:t>
            </w:r>
          </w:p>
        </w:tc>
        <w:tc>
          <w:tcPr>
            <w:tcW w:w="931" w:type="dxa"/>
            <w:tcBorders>
              <w:top w:val="single" w:color="000000" w:sz="4" w:space="0"/>
              <w:left w:val="single" w:color="000000" w:sz="4" w:space="0"/>
              <w:bottom w:val="single" w:color="000000" w:sz="4" w:space="0"/>
              <w:right w:val="single" w:color="000000" w:sz="4" w:space="0"/>
            </w:tcBorders>
            <w:vAlign w:val="center"/>
          </w:tcPr>
          <w:p w14:paraId="09ADD42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2,748.89 </w:t>
            </w:r>
          </w:p>
        </w:tc>
        <w:tc>
          <w:tcPr>
            <w:tcW w:w="931" w:type="dxa"/>
            <w:tcBorders>
              <w:top w:val="single" w:color="000000" w:sz="4" w:space="0"/>
              <w:left w:val="single" w:color="000000" w:sz="4" w:space="0"/>
              <w:bottom w:val="single" w:color="000000" w:sz="4" w:space="0"/>
              <w:right w:val="single" w:color="000000" w:sz="4" w:space="0"/>
            </w:tcBorders>
            <w:vAlign w:val="center"/>
          </w:tcPr>
          <w:p w14:paraId="0AA846C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2,776.38 </w:t>
            </w:r>
          </w:p>
        </w:tc>
        <w:tc>
          <w:tcPr>
            <w:tcW w:w="1020" w:type="dxa"/>
            <w:tcBorders>
              <w:top w:val="single" w:color="000000" w:sz="4" w:space="0"/>
              <w:left w:val="single" w:color="000000" w:sz="4" w:space="0"/>
              <w:bottom w:val="single" w:color="000000" w:sz="4" w:space="0"/>
              <w:right w:val="single" w:color="000000" w:sz="4" w:space="0"/>
            </w:tcBorders>
            <w:vAlign w:val="center"/>
          </w:tcPr>
          <w:p w14:paraId="0BE5B41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2,944.35 </w:t>
            </w:r>
          </w:p>
        </w:tc>
        <w:tc>
          <w:tcPr>
            <w:tcW w:w="1020" w:type="dxa"/>
            <w:tcBorders>
              <w:top w:val="single" w:color="000000" w:sz="4" w:space="0"/>
              <w:left w:val="single" w:color="000000" w:sz="4" w:space="0"/>
              <w:bottom w:val="single" w:color="000000" w:sz="4" w:space="0"/>
              <w:right w:val="single" w:color="000000" w:sz="4" w:space="0"/>
            </w:tcBorders>
            <w:vAlign w:val="center"/>
          </w:tcPr>
          <w:p w14:paraId="3C4CA1C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2,973.80 </w:t>
            </w:r>
          </w:p>
        </w:tc>
        <w:tc>
          <w:tcPr>
            <w:tcW w:w="1021" w:type="dxa"/>
            <w:tcBorders>
              <w:top w:val="single" w:color="000000" w:sz="4" w:space="0"/>
              <w:left w:val="single" w:color="000000" w:sz="4" w:space="0"/>
              <w:bottom w:val="single" w:color="000000" w:sz="4" w:space="0"/>
              <w:right w:val="single" w:color="000000" w:sz="4" w:space="0"/>
            </w:tcBorders>
            <w:vAlign w:val="center"/>
          </w:tcPr>
          <w:p w14:paraId="64D2B99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3,003.54 </w:t>
            </w:r>
          </w:p>
        </w:tc>
        <w:tc>
          <w:tcPr>
            <w:tcW w:w="1021" w:type="dxa"/>
            <w:tcBorders>
              <w:top w:val="single" w:color="000000" w:sz="4" w:space="0"/>
              <w:left w:val="single" w:color="000000" w:sz="4" w:space="0"/>
              <w:bottom w:val="single" w:color="000000" w:sz="4" w:space="0"/>
              <w:right w:val="single" w:color="000000" w:sz="4" w:space="0"/>
            </w:tcBorders>
            <w:vAlign w:val="center"/>
          </w:tcPr>
          <w:p w14:paraId="291723C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3,185.25 </w:t>
            </w:r>
          </w:p>
        </w:tc>
      </w:tr>
      <w:tr w14:paraId="612894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7654162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2、种苗保供收入</w:t>
            </w:r>
          </w:p>
        </w:tc>
        <w:tc>
          <w:tcPr>
            <w:tcW w:w="1110" w:type="dxa"/>
            <w:tcBorders>
              <w:top w:val="single" w:color="000000" w:sz="4" w:space="0"/>
              <w:left w:val="single" w:color="000000" w:sz="4" w:space="0"/>
              <w:bottom w:val="single" w:color="000000" w:sz="4" w:space="0"/>
              <w:right w:val="single" w:color="000000" w:sz="4" w:space="0"/>
            </w:tcBorders>
            <w:vAlign w:val="center"/>
          </w:tcPr>
          <w:p w14:paraId="3904E2B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6F0CB42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7,641.51 </w:t>
            </w:r>
          </w:p>
        </w:tc>
        <w:tc>
          <w:tcPr>
            <w:tcW w:w="1020" w:type="dxa"/>
            <w:tcBorders>
              <w:top w:val="single" w:color="000000" w:sz="4" w:space="0"/>
              <w:left w:val="single" w:color="000000" w:sz="4" w:space="0"/>
              <w:bottom w:val="single" w:color="000000" w:sz="4" w:space="0"/>
              <w:right w:val="single" w:color="000000" w:sz="4" w:space="0"/>
            </w:tcBorders>
            <w:vAlign w:val="center"/>
          </w:tcPr>
          <w:p w14:paraId="4055823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77194B2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5C5C01B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849.06 </w:t>
            </w:r>
          </w:p>
        </w:tc>
        <w:tc>
          <w:tcPr>
            <w:tcW w:w="931" w:type="dxa"/>
            <w:tcBorders>
              <w:top w:val="single" w:color="000000" w:sz="4" w:space="0"/>
              <w:left w:val="single" w:color="000000" w:sz="4" w:space="0"/>
              <w:bottom w:val="single" w:color="000000" w:sz="4" w:space="0"/>
              <w:right w:val="single" w:color="000000" w:sz="4" w:space="0"/>
            </w:tcBorders>
            <w:vAlign w:val="center"/>
          </w:tcPr>
          <w:p w14:paraId="5590DB7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849.06 </w:t>
            </w:r>
          </w:p>
        </w:tc>
        <w:tc>
          <w:tcPr>
            <w:tcW w:w="931" w:type="dxa"/>
            <w:tcBorders>
              <w:top w:val="single" w:color="000000" w:sz="4" w:space="0"/>
              <w:left w:val="single" w:color="000000" w:sz="4" w:space="0"/>
              <w:bottom w:val="single" w:color="000000" w:sz="4" w:space="0"/>
              <w:right w:val="single" w:color="000000" w:sz="4" w:space="0"/>
            </w:tcBorders>
            <w:vAlign w:val="center"/>
          </w:tcPr>
          <w:p w14:paraId="48BD7A8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849.06 </w:t>
            </w:r>
          </w:p>
        </w:tc>
        <w:tc>
          <w:tcPr>
            <w:tcW w:w="931" w:type="dxa"/>
            <w:tcBorders>
              <w:top w:val="single" w:color="000000" w:sz="4" w:space="0"/>
              <w:left w:val="single" w:color="000000" w:sz="4" w:space="0"/>
              <w:bottom w:val="single" w:color="000000" w:sz="4" w:space="0"/>
              <w:right w:val="single" w:color="000000" w:sz="4" w:space="0"/>
            </w:tcBorders>
            <w:vAlign w:val="center"/>
          </w:tcPr>
          <w:p w14:paraId="5A41A25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849.06 </w:t>
            </w:r>
          </w:p>
        </w:tc>
        <w:tc>
          <w:tcPr>
            <w:tcW w:w="931" w:type="dxa"/>
            <w:tcBorders>
              <w:top w:val="single" w:color="000000" w:sz="4" w:space="0"/>
              <w:left w:val="single" w:color="000000" w:sz="4" w:space="0"/>
              <w:bottom w:val="single" w:color="000000" w:sz="4" w:space="0"/>
              <w:right w:val="single" w:color="000000" w:sz="4" w:space="0"/>
            </w:tcBorders>
            <w:vAlign w:val="center"/>
          </w:tcPr>
          <w:p w14:paraId="433AC64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849.06 </w:t>
            </w:r>
          </w:p>
        </w:tc>
        <w:tc>
          <w:tcPr>
            <w:tcW w:w="1020" w:type="dxa"/>
            <w:tcBorders>
              <w:top w:val="single" w:color="000000" w:sz="4" w:space="0"/>
              <w:left w:val="single" w:color="000000" w:sz="4" w:space="0"/>
              <w:bottom w:val="single" w:color="000000" w:sz="4" w:space="0"/>
              <w:right w:val="single" w:color="000000" w:sz="4" w:space="0"/>
            </w:tcBorders>
            <w:vAlign w:val="center"/>
          </w:tcPr>
          <w:p w14:paraId="09D9BD8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849.06 </w:t>
            </w:r>
          </w:p>
        </w:tc>
        <w:tc>
          <w:tcPr>
            <w:tcW w:w="1020" w:type="dxa"/>
            <w:tcBorders>
              <w:top w:val="single" w:color="000000" w:sz="4" w:space="0"/>
              <w:left w:val="single" w:color="000000" w:sz="4" w:space="0"/>
              <w:bottom w:val="single" w:color="000000" w:sz="4" w:space="0"/>
              <w:right w:val="single" w:color="000000" w:sz="4" w:space="0"/>
            </w:tcBorders>
            <w:vAlign w:val="center"/>
          </w:tcPr>
          <w:p w14:paraId="0C58A28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849.06 </w:t>
            </w:r>
          </w:p>
        </w:tc>
        <w:tc>
          <w:tcPr>
            <w:tcW w:w="1021" w:type="dxa"/>
            <w:tcBorders>
              <w:top w:val="single" w:color="000000" w:sz="4" w:space="0"/>
              <w:left w:val="single" w:color="000000" w:sz="4" w:space="0"/>
              <w:bottom w:val="single" w:color="000000" w:sz="4" w:space="0"/>
              <w:right w:val="single" w:color="000000" w:sz="4" w:space="0"/>
            </w:tcBorders>
            <w:vAlign w:val="center"/>
          </w:tcPr>
          <w:p w14:paraId="5DF8942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849.06 </w:t>
            </w:r>
          </w:p>
        </w:tc>
        <w:tc>
          <w:tcPr>
            <w:tcW w:w="1021" w:type="dxa"/>
            <w:tcBorders>
              <w:top w:val="single" w:color="000000" w:sz="4" w:space="0"/>
              <w:left w:val="single" w:color="000000" w:sz="4" w:space="0"/>
              <w:bottom w:val="single" w:color="000000" w:sz="4" w:space="0"/>
              <w:right w:val="single" w:color="000000" w:sz="4" w:space="0"/>
            </w:tcBorders>
            <w:vAlign w:val="center"/>
          </w:tcPr>
          <w:p w14:paraId="001F00B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849.06 </w:t>
            </w:r>
          </w:p>
        </w:tc>
      </w:tr>
      <w:tr w14:paraId="164FD6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1880960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（二）收到的税费</w:t>
            </w:r>
          </w:p>
        </w:tc>
        <w:tc>
          <w:tcPr>
            <w:tcW w:w="1110" w:type="dxa"/>
            <w:tcBorders>
              <w:top w:val="single" w:color="000000" w:sz="4" w:space="0"/>
              <w:left w:val="single" w:color="000000" w:sz="4" w:space="0"/>
              <w:bottom w:val="single" w:color="000000" w:sz="4" w:space="0"/>
              <w:right w:val="single" w:color="000000" w:sz="4" w:space="0"/>
            </w:tcBorders>
            <w:vAlign w:val="center"/>
          </w:tcPr>
          <w:p w14:paraId="5346A26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6493D92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458.49 </w:t>
            </w:r>
          </w:p>
        </w:tc>
        <w:tc>
          <w:tcPr>
            <w:tcW w:w="1020" w:type="dxa"/>
            <w:tcBorders>
              <w:top w:val="single" w:color="000000" w:sz="4" w:space="0"/>
              <w:left w:val="single" w:color="000000" w:sz="4" w:space="0"/>
              <w:bottom w:val="single" w:color="000000" w:sz="4" w:space="0"/>
              <w:right w:val="single" w:color="000000" w:sz="4" w:space="0"/>
            </w:tcBorders>
            <w:vAlign w:val="center"/>
          </w:tcPr>
          <w:p w14:paraId="7908B3D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7EA8C5B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5E2C24B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c>
          <w:tcPr>
            <w:tcW w:w="931" w:type="dxa"/>
            <w:tcBorders>
              <w:top w:val="single" w:color="000000" w:sz="4" w:space="0"/>
              <w:left w:val="single" w:color="000000" w:sz="4" w:space="0"/>
              <w:bottom w:val="single" w:color="000000" w:sz="4" w:space="0"/>
              <w:right w:val="single" w:color="000000" w:sz="4" w:space="0"/>
            </w:tcBorders>
            <w:vAlign w:val="center"/>
          </w:tcPr>
          <w:p w14:paraId="5142EE6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c>
          <w:tcPr>
            <w:tcW w:w="931" w:type="dxa"/>
            <w:tcBorders>
              <w:top w:val="single" w:color="000000" w:sz="4" w:space="0"/>
              <w:left w:val="single" w:color="000000" w:sz="4" w:space="0"/>
              <w:bottom w:val="single" w:color="000000" w:sz="4" w:space="0"/>
              <w:right w:val="single" w:color="000000" w:sz="4" w:space="0"/>
            </w:tcBorders>
            <w:vAlign w:val="center"/>
          </w:tcPr>
          <w:p w14:paraId="580D72E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c>
          <w:tcPr>
            <w:tcW w:w="931" w:type="dxa"/>
            <w:tcBorders>
              <w:top w:val="single" w:color="000000" w:sz="4" w:space="0"/>
              <w:left w:val="single" w:color="000000" w:sz="4" w:space="0"/>
              <w:bottom w:val="single" w:color="000000" w:sz="4" w:space="0"/>
              <w:right w:val="single" w:color="000000" w:sz="4" w:space="0"/>
            </w:tcBorders>
            <w:vAlign w:val="center"/>
          </w:tcPr>
          <w:p w14:paraId="5D6639F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c>
          <w:tcPr>
            <w:tcW w:w="931" w:type="dxa"/>
            <w:tcBorders>
              <w:top w:val="single" w:color="000000" w:sz="4" w:space="0"/>
              <w:left w:val="single" w:color="000000" w:sz="4" w:space="0"/>
              <w:bottom w:val="single" w:color="000000" w:sz="4" w:space="0"/>
              <w:right w:val="single" w:color="000000" w:sz="4" w:space="0"/>
            </w:tcBorders>
            <w:vAlign w:val="center"/>
          </w:tcPr>
          <w:p w14:paraId="62CAB87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c>
          <w:tcPr>
            <w:tcW w:w="1020" w:type="dxa"/>
            <w:tcBorders>
              <w:top w:val="single" w:color="000000" w:sz="4" w:space="0"/>
              <w:left w:val="single" w:color="000000" w:sz="4" w:space="0"/>
              <w:bottom w:val="single" w:color="000000" w:sz="4" w:space="0"/>
              <w:right w:val="single" w:color="000000" w:sz="4" w:space="0"/>
            </w:tcBorders>
            <w:vAlign w:val="center"/>
          </w:tcPr>
          <w:p w14:paraId="7266B2E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c>
          <w:tcPr>
            <w:tcW w:w="1020" w:type="dxa"/>
            <w:tcBorders>
              <w:top w:val="single" w:color="000000" w:sz="4" w:space="0"/>
              <w:left w:val="single" w:color="000000" w:sz="4" w:space="0"/>
              <w:bottom w:val="single" w:color="000000" w:sz="4" w:space="0"/>
              <w:right w:val="single" w:color="000000" w:sz="4" w:space="0"/>
            </w:tcBorders>
            <w:vAlign w:val="center"/>
          </w:tcPr>
          <w:p w14:paraId="6172DD5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c>
          <w:tcPr>
            <w:tcW w:w="1021" w:type="dxa"/>
            <w:tcBorders>
              <w:top w:val="single" w:color="000000" w:sz="4" w:space="0"/>
              <w:left w:val="single" w:color="000000" w:sz="4" w:space="0"/>
              <w:bottom w:val="single" w:color="000000" w:sz="4" w:space="0"/>
              <w:right w:val="single" w:color="000000" w:sz="4" w:space="0"/>
            </w:tcBorders>
            <w:vAlign w:val="center"/>
          </w:tcPr>
          <w:p w14:paraId="4C7CA14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c>
          <w:tcPr>
            <w:tcW w:w="1021" w:type="dxa"/>
            <w:tcBorders>
              <w:top w:val="single" w:color="000000" w:sz="4" w:space="0"/>
              <w:left w:val="single" w:color="000000" w:sz="4" w:space="0"/>
              <w:bottom w:val="single" w:color="000000" w:sz="4" w:space="0"/>
              <w:right w:val="single" w:color="000000" w:sz="4" w:space="0"/>
            </w:tcBorders>
            <w:vAlign w:val="center"/>
          </w:tcPr>
          <w:p w14:paraId="1EF9F85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r>
      <w:tr w14:paraId="68ADC72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27564E8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1、增值税</w:t>
            </w:r>
          </w:p>
        </w:tc>
        <w:tc>
          <w:tcPr>
            <w:tcW w:w="1110" w:type="dxa"/>
            <w:tcBorders>
              <w:top w:val="single" w:color="000000" w:sz="4" w:space="0"/>
              <w:left w:val="single" w:color="000000" w:sz="4" w:space="0"/>
              <w:bottom w:val="single" w:color="000000" w:sz="4" w:space="0"/>
              <w:right w:val="single" w:color="000000" w:sz="4" w:space="0"/>
            </w:tcBorders>
            <w:vAlign w:val="center"/>
          </w:tcPr>
          <w:p w14:paraId="03B1D1B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2483DF9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458.49 </w:t>
            </w:r>
          </w:p>
        </w:tc>
        <w:tc>
          <w:tcPr>
            <w:tcW w:w="1020" w:type="dxa"/>
            <w:tcBorders>
              <w:top w:val="single" w:color="000000" w:sz="4" w:space="0"/>
              <w:left w:val="single" w:color="000000" w:sz="4" w:space="0"/>
              <w:bottom w:val="single" w:color="000000" w:sz="4" w:space="0"/>
              <w:right w:val="single" w:color="000000" w:sz="4" w:space="0"/>
            </w:tcBorders>
            <w:vAlign w:val="center"/>
          </w:tcPr>
          <w:p w14:paraId="7EA8F5A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105C948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4F23E55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c>
          <w:tcPr>
            <w:tcW w:w="931" w:type="dxa"/>
            <w:tcBorders>
              <w:top w:val="single" w:color="000000" w:sz="4" w:space="0"/>
              <w:left w:val="single" w:color="000000" w:sz="4" w:space="0"/>
              <w:bottom w:val="single" w:color="000000" w:sz="4" w:space="0"/>
              <w:right w:val="single" w:color="000000" w:sz="4" w:space="0"/>
            </w:tcBorders>
            <w:vAlign w:val="center"/>
          </w:tcPr>
          <w:p w14:paraId="6A42196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c>
          <w:tcPr>
            <w:tcW w:w="931" w:type="dxa"/>
            <w:tcBorders>
              <w:top w:val="single" w:color="000000" w:sz="4" w:space="0"/>
              <w:left w:val="single" w:color="000000" w:sz="4" w:space="0"/>
              <w:bottom w:val="single" w:color="000000" w:sz="4" w:space="0"/>
              <w:right w:val="single" w:color="000000" w:sz="4" w:space="0"/>
            </w:tcBorders>
            <w:vAlign w:val="center"/>
          </w:tcPr>
          <w:p w14:paraId="2116FC1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c>
          <w:tcPr>
            <w:tcW w:w="931" w:type="dxa"/>
            <w:tcBorders>
              <w:top w:val="single" w:color="000000" w:sz="4" w:space="0"/>
              <w:left w:val="single" w:color="000000" w:sz="4" w:space="0"/>
              <w:bottom w:val="single" w:color="000000" w:sz="4" w:space="0"/>
              <w:right w:val="single" w:color="000000" w:sz="4" w:space="0"/>
            </w:tcBorders>
            <w:vAlign w:val="center"/>
          </w:tcPr>
          <w:p w14:paraId="14FC08F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c>
          <w:tcPr>
            <w:tcW w:w="931" w:type="dxa"/>
            <w:tcBorders>
              <w:top w:val="single" w:color="000000" w:sz="4" w:space="0"/>
              <w:left w:val="single" w:color="000000" w:sz="4" w:space="0"/>
              <w:bottom w:val="single" w:color="000000" w:sz="4" w:space="0"/>
              <w:right w:val="single" w:color="000000" w:sz="4" w:space="0"/>
            </w:tcBorders>
            <w:vAlign w:val="center"/>
          </w:tcPr>
          <w:p w14:paraId="56AF8CB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c>
          <w:tcPr>
            <w:tcW w:w="1020" w:type="dxa"/>
            <w:tcBorders>
              <w:top w:val="single" w:color="000000" w:sz="4" w:space="0"/>
              <w:left w:val="single" w:color="000000" w:sz="4" w:space="0"/>
              <w:bottom w:val="single" w:color="000000" w:sz="4" w:space="0"/>
              <w:right w:val="single" w:color="000000" w:sz="4" w:space="0"/>
            </w:tcBorders>
            <w:vAlign w:val="center"/>
          </w:tcPr>
          <w:p w14:paraId="6953334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c>
          <w:tcPr>
            <w:tcW w:w="1020" w:type="dxa"/>
            <w:tcBorders>
              <w:top w:val="single" w:color="000000" w:sz="4" w:space="0"/>
              <w:left w:val="single" w:color="000000" w:sz="4" w:space="0"/>
              <w:bottom w:val="single" w:color="000000" w:sz="4" w:space="0"/>
              <w:right w:val="single" w:color="000000" w:sz="4" w:space="0"/>
            </w:tcBorders>
            <w:vAlign w:val="center"/>
          </w:tcPr>
          <w:p w14:paraId="6069394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c>
          <w:tcPr>
            <w:tcW w:w="1021" w:type="dxa"/>
            <w:tcBorders>
              <w:top w:val="single" w:color="000000" w:sz="4" w:space="0"/>
              <w:left w:val="single" w:color="000000" w:sz="4" w:space="0"/>
              <w:bottom w:val="single" w:color="000000" w:sz="4" w:space="0"/>
              <w:right w:val="single" w:color="000000" w:sz="4" w:space="0"/>
            </w:tcBorders>
            <w:vAlign w:val="center"/>
          </w:tcPr>
          <w:p w14:paraId="3A1A1C7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c>
          <w:tcPr>
            <w:tcW w:w="1021" w:type="dxa"/>
            <w:tcBorders>
              <w:top w:val="single" w:color="000000" w:sz="4" w:space="0"/>
              <w:left w:val="single" w:color="000000" w:sz="4" w:space="0"/>
              <w:bottom w:val="single" w:color="000000" w:sz="4" w:space="0"/>
              <w:right w:val="single" w:color="000000" w:sz="4" w:space="0"/>
            </w:tcBorders>
            <w:vAlign w:val="center"/>
          </w:tcPr>
          <w:p w14:paraId="70CDD1C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50.94 </w:t>
            </w:r>
          </w:p>
        </w:tc>
      </w:tr>
      <w:tr w14:paraId="2DE49C0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7E0A0FF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二、经营活动产生的现金流出</w:t>
            </w:r>
          </w:p>
        </w:tc>
        <w:tc>
          <w:tcPr>
            <w:tcW w:w="1110" w:type="dxa"/>
            <w:tcBorders>
              <w:top w:val="single" w:color="000000" w:sz="4" w:space="0"/>
              <w:left w:val="single" w:color="000000" w:sz="4" w:space="0"/>
              <w:bottom w:val="single" w:color="000000" w:sz="4" w:space="0"/>
              <w:right w:val="single" w:color="000000" w:sz="4" w:space="0"/>
            </w:tcBorders>
            <w:vAlign w:val="center"/>
          </w:tcPr>
          <w:p w14:paraId="2100892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10DE3A5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14,092.64 </w:t>
            </w:r>
          </w:p>
        </w:tc>
        <w:tc>
          <w:tcPr>
            <w:tcW w:w="1020" w:type="dxa"/>
            <w:tcBorders>
              <w:top w:val="single" w:color="000000" w:sz="4" w:space="0"/>
              <w:left w:val="single" w:color="000000" w:sz="4" w:space="0"/>
              <w:bottom w:val="single" w:color="000000" w:sz="4" w:space="0"/>
              <w:right w:val="single" w:color="000000" w:sz="4" w:space="0"/>
            </w:tcBorders>
            <w:vAlign w:val="center"/>
          </w:tcPr>
          <w:p w14:paraId="7469160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0F25B24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74FECAF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1,437.11 </w:t>
            </w:r>
          </w:p>
        </w:tc>
        <w:tc>
          <w:tcPr>
            <w:tcW w:w="931" w:type="dxa"/>
            <w:tcBorders>
              <w:top w:val="single" w:color="000000" w:sz="4" w:space="0"/>
              <w:left w:val="single" w:color="000000" w:sz="4" w:space="0"/>
              <w:bottom w:val="single" w:color="000000" w:sz="4" w:space="0"/>
              <w:right w:val="single" w:color="000000" w:sz="4" w:space="0"/>
            </w:tcBorders>
            <w:vAlign w:val="center"/>
          </w:tcPr>
          <w:p w14:paraId="782384B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1,445.68 </w:t>
            </w:r>
          </w:p>
        </w:tc>
        <w:tc>
          <w:tcPr>
            <w:tcW w:w="931" w:type="dxa"/>
            <w:tcBorders>
              <w:top w:val="single" w:color="000000" w:sz="4" w:space="0"/>
              <w:left w:val="single" w:color="000000" w:sz="4" w:space="0"/>
              <w:bottom w:val="single" w:color="000000" w:sz="4" w:space="0"/>
              <w:right w:val="single" w:color="000000" w:sz="4" w:space="0"/>
            </w:tcBorders>
            <w:vAlign w:val="center"/>
          </w:tcPr>
          <w:p w14:paraId="6561512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1,508.71 </w:t>
            </w:r>
          </w:p>
        </w:tc>
        <w:tc>
          <w:tcPr>
            <w:tcW w:w="931" w:type="dxa"/>
            <w:tcBorders>
              <w:top w:val="single" w:color="000000" w:sz="4" w:space="0"/>
              <w:left w:val="single" w:color="000000" w:sz="4" w:space="0"/>
              <w:bottom w:val="single" w:color="000000" w:sz="4" w:space="0"/>
              <w:right w:val="single" w:color="000000" w:sz="4" w:space="0"/>
            </w:tcBorders>
            <w:vAlign w:val="center"/>
          </w:tcPr>
          <w:p w14:paraId="24B3726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1,517.89 </w:t>
            </w:r>
          </w:p>
        </w:tc>
        <w:tc>
          <w:tcPr>
            <w:tcW w:w="931" w:type="dxa"/>
            <w:tcBorders>
              <w:top w:val="single" w:color="000000" w:sz="4" w:space="0"/>
              <w:left w:val="single" w:color="000000" w:sz="4" w:space="0"/>
              <w:bottom w:val="single" w:color="000000" w:sz="4" w:space="0"/>
              <w:right w:val="single" w:color="000000" w:sz="4" w:space="0"/>
            </w:tcBorders>
            <w:vAlign w:val="center"/>
          </w:tcPr>
          <w:p w14:paraId="116E0BE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1,542.16 </w:t>
            </w:r>
          </w:p>
        </w:tc>
        <w:tc>
          <w:tcPr>
            <w:tcW w:w="1020" w:type="dxa"/>
            <w:tcBorders>
              <w:top w:val="single" w:color="000000" w:sz="4" w:space="0"/>
              <w:left w:val="single" w:color="000000" w:sz="4" w:space="0"/>
              <w:bottom w:val="single" w:color="000000" w:sz="4" w:space="0"/>
              <w:right w:val="single" w:color="000000" w:sz="4" w:space="0"/>
            </w:tcBorders>
            <w:vAlign w:val="center"/>
          </w:tcPr>
          <w:p w14:paraId="3FB5A85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1,610.01 </w:t>
            </w:r>
          </w:p>
        </w:tc>
        <w:tc>
          <w:tcPr>
            <w:tcW w:w="1020" w:type="dxa"/>
            <w:tcBorders>
              <w:top w:val="single" w:color="000000" w:sz="4" w:space="0"/>
              <w:left w:val="single" w:color="000000" w:sz="4" w:space="0"/>
              <w:bottom w:val="single" w:color="000000" w:sz="4" w:space="0"/>
              <w:right w:val="single" w:color="000000" w:sz="4" w:space="0"/>
            </w:tcBorders>
            <w:vAlign w:val="center"/>
          </w:tcPr>
          <w:p w14:paraId="51E3C5C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1,619.94 </w:t>
            </w:r>
          </w:p>
        </w:tc>
        <w:tc>
          <w:tcPr>
            <w:tcW w:w="1021" w:type="dxa"/>
            <w:tcBorders>
              <w:top w:val="single" w:color="000000" w:sz="4" w:space="0"/>
              <w:left w:val="single" w:color="000000" w:sz="4" w:space="0"/>
              <w:bottom w:val="single" w:color="000000" w:sz="4" w:space="0"/>
              <w:right w:val="single" w:color="000000" w:sz="4" w:space="0"/>
            </w:tcBorders>
            <w:vAlign w:val="center"/>
          </w:tcPr>
          <w:p w14:paraId="29E4D22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1,629.97 </w:t>
            </w:r>
          </w:p>
        </w:tc>
        <w:tc>
          <w:tcPr>
            <w:tcW w:w="1021" w:type="dxa"/>
            <w:tcBorders>
              <w:top w:val="single" w:color="000000" w:sz="4" w:space="0"/>
              <w:left w:val="single" w:color="000000" w:sz="4" w:space="0"/>
              <w:bottom w:val="single" w:color="000000" w:sz="4" w:space="0"/>
              <w:right w:val="single" w:color="000000" w:sz="4" w:space="0"/>
            </w:tcBorders>
            <w:vAlign w:val="center"/>
          </w:tcPr>
          <w:p w14:paraId="46A3D39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1,781.17 </w:t>
            </w:r>
          </w:p>
        </w:tc>
      </w:tr>
      <w:tr w14:paraId="0C97460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4FEEF8F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（一）经营成本</w:t>
            </w:r>
          </w:p>
        </w:tc>
        <w:tc>
          <w:tcPr>
            <w:tcW w:w="1110" w:type="dxa"/>
            <w:tcBorders>
              <w:top w:val="single" w:color="000000" w:sz="4" w:space="0"/>
              <w:left w:val="single" w:color="000000" w:sz="4" w:space="0"/>
              <w:bottom w:val="single" w:color="000000" w:sz="4" w:space="0"/>
              <w:right w:val="single" w:color="000000" w:sz="4" w:space="0"/>
            </w:tcBorders>
            <w:vAlign w:val="center"/>
          </w:tcPr>
          <w:p w14:paraId="5F84C3F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1B629DC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12,113.34 </w:t>
            </w:r>
          </w:p>
        </w:tc>
        <w:tc>
          <w:tcPr>
            <w:tcW w:w="1020" w:type="dxa"/>
            <w:tcBorders>
              <w:top w:val="single" w:color="000000" w:sz="4" w:space="0"/>
              <w:left w:val="single" w:color="000000" w:sz="4" w:space="0"/>
              <w:bottom w:val="single" w:color="000000" w:sz="4" w:space="0"/>
              <w:right w:val="single" w:color="000000" w:sz="4" w:space="0"/>
            </w:tcBorders>
            <w:vAlign w:val="center"/>
          </w:tcPr>
          <w:p w14:paraId="1D62A34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441EA4F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1772FBC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1,281.39 </w:t>
            </w:r>
          </w:p>
        </w:tc>
        <w:tc>
          <w:tcPr>
            <w:tcW w:w="931" w:type="dxa"/>
            <w:tcBorders>
              <w:top w:val="single" w:color="000000" w:sz="4" w:space="0"/>
              <w:left w:val="single" w:color="000000" w:sz="4" w:space="0"/>
              <w:bottom w:val="single" w:color="000000" w:sz="4" w:space="0"/>
              <w:right w:val="single" w:color="000000" w:sz="4" w:space="0"/>
            </w:tcBorders>
            <w:vAlign w:val="center"/>
          </w:tcPr>
          <w:p w14:paraId="2DF7534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1,284.38 </w:t>
            </w:r>
          </w:p>
        </w:tc>
        <w:tc>
          <w:tcPr>
            <w:tcW w:w="931" w:type="dxa"/>
            <w:tcBorders>
              <w:top w:val="single" w:color="000000" w:sz="4" w:space="0"/>
              <w:left w:val="single" w:color="000000" w:sz="4" w:space="0"/>
              <w:bottom w:val="single" w:color="000000" w:sz="4" w:space="0"/>
              <w:right w:val="single" w:color="000000" w:sz="4" w:space="0"/>
            </w:tcBorders>
            <w:vAlign w:val="center"/>
          </w:tcPr>
          <w:p w14:paraId="5A35589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1,316.95 </w:t>
            </w:r>
          </w:p>
        </w:tc>
        <w:tc>
          <w:tcPr>
            <w:tcW w:w="931" w:type="dxa"/>
            <w:tcBorders>
              <w:top w:val="single" w:color="000000" w:sz="4" w:space="0"/>
              <w:left w:val="single" w:color="000000" w:sz="4" w:space="0"/>
              <w:bottom w:val="single" w:color="000000" w:sz="4" w:space="0"/>
              <w:right w:val="single" w:color="000000" w:sz="4" w:space="0"/>
            </w:tcBorders>
            <w:vAlign w:val="center"/>
          </w:tcPr>
          <w:p w14:paraId="61E89B9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1,320.16 </w:t>
            </w:r>
          </w:p>
        </w:tc>
        <w:tc>
          <w:tcPr>
            <w:tcW w:w="931" w:type="dxa"/>
            <w:tcBorders>
              <w:top w:val="single" w:color="000000" w:sz="4" w:space="0"/>
              <w:left w:val="single" w:color="000000" w:sz="4" w:space="0"/>
              <w:bottom w:val="single" w:color="000000" w:sz="4" w:space="0"/>
              <w:right w:val="single" w:color="000000" w:sz="4" w:space="0"/>
            </w:tcBorders>
            <w:vAlign w:val="center"/>
          </w:tcPr>
          <w:p w14:paraId="3D21FAD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1,343.40 </w:t>
            </w:r>
          </w:p>
        </w:tc>
        <w:tc>
          <w:tcPr>
            <w:tcW w:w="1020" w:type="dxa"/>
            <w:tcBorders>
              <w:top w:val="single" w:color="000000" w:sz="4" w:space="0"/>
              <w:left w:val="single" w:color="000000" w:sz="4" w:space="0"/>
              <w:bottom w:val="single" w:color="000000" w:sz="4" w:space="0"/>
              <w:right w:val="single" w:color="000000" w:sz="4" w:space="0"/>
            </w:tcBorders>
            <w:vAlign w:val="center"/>
          </w:tcPr>
          <w:p w14:paraId="7B5329F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1,378.14 </w:t>
            </w:r>
          </w:p>
        </w:tc>
        <w:tc>
          <w:tcPr>
            <w:tcW w:w="1020" w:type="dxa"/>
            <w:tcBorders>
              <w:top w:val="single" w:color="000000" w:sz="4" w:space="0"/>
              <w:left w:val="single" w:color="000000" w:sz="4" w:space="0"/>
              <w:bottom w:val="single" w:color="000000" w:sz="4" w:space="0"/>
              <w:right w:val="single" w:color="000000" w:sz="4" w:space="0"/>
            </w:tcBorders>
            <w:vAlign w:val="center"/>
          </w:tcPr>
          <w:p w14:paraId="1415467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1,381.61 </w:t>
            </w:r>
          </w:p>
        </w:tc>
        <w:tc>
          <w:tcPr>
            <w:tcW w:w="1021" w:type="dxa"/>
            <w:tcBorders>
              <w:top w:val="single" w:color="000000" w:sz="4" w:space="0"/>
              <w:left w:val="single" w:color="000000" w:sz="4" w:space="0"/>
              <w:bottom w:val="single" w:color="000000" w:sz="4" w:space="0"/>
              <w:right w:val="single" w:color="000000" w:sz="4" w:space="0"/>
            </w:tcBorders>
            <w:vAlign w:val="center"/>
          </w:tcPr>
          <w:p w14:paraId="1550003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1,385.11 </w:t>
            </w:r>
          </w:p>
        </w:tc>
        <w:tc>
          <w:tcPr>
            <w:tcW w:w="1021" w:type="dxa"/>
            <w:tcBorders>
              <w:top w:val="single" w:color="000000" w:sz="4" w:space="0"/>
              <w:left w:val="single" w:color="000000" w:sz="4" w:space="0"/>
              <w:bottom w:val="single" w:color="000000" w:sz="4" w:space="0"/>
              <w:right w:val="single" w:color="000000" w:sz="4" w:space="0"/>
            </w:tcBorders>
            <w:vAlign w:val="center"/>
          </w:tcPr>
          <w:p w14:paraId="47375EE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1,422.20 </w:t>
            </w:r>
          </w:p>
        </w:tc>
      </w:tr>
      <w:tr w14:paraId="1D1604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0000C62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1、水电燃料及动力费</w:t>
            </w:r>
          </w:p>
        </w:tc>
        <w:tc>
          <w:tcPr>
            <w:tcW w:w="1110" w:type="dxa"/>
            <w:tcBorders>
              <w:top w:val="single" w:color="000000" w:sz="4" w:space="0"/>
              <w:left w:val="single" w:color="000000" w:sz="4" w:space="0"/>
              <w:bottom w:val="single" w:color="000000" w:sz="4" w:space="0"/>
              <w:right w:val="single" w:color="000000" w:sz="4" w:space="0"/>
            </w:tcBorders>
            <w:vAlign w:val="center"/>
          </w:tcPr>
          <w:p w14:paraId="6BB6699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163B6E7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665.62 </w:t>
            </w:r>
          </w:p>
        </w:tc>
        <w:tc>
          <w:tcPr>
            <w:tcW w:w="1020" w:type="dxa"/>
            <w:tcBorders>
              <w:top w:val="single" w:color="000000" w:sz="4" w:space="0"/>
              <w:left w:val="single" w:color="000000" w:sz="4" w:space="0"/>
              <w:bottom w:val="single" w:color="000000" w:sz="4" w:space="0"/>
              <w:right w:val="single" w:color="000000" w:sz="4" w:space="0"/>
            </w:tcBorders>
            <w:vAlign w:val="center"/>
          </w:tcPr>
          <w:p w14:paraId="3FB474F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6CA7EB7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6FDC8A9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73.79 </w:t>
            </w:r>
          </w:p>
        </w:tc>
        <w:tc>
          <w:tcPr>
            <w:tcW w:w="931" w:type="dxa"/>
            <w:tcBorders>
              <w:top w:val="single" w:color="000000" w:sz="4" w:space="0"/>
              <w:left w:val="single" w:color="000000" w:sz="4" w:space="0"/>
              <w:bottom w:val="single" w:color="000000" w:sz="4" w:space="0"/>
              <w:right w:val="single" w:color="000000" w:sz="4" w:space="0"/>
            </w:tcBorders>
            <w:vAlign w:val="center"/>
          </w:tcPr>
          <w:p w14:paraId="71BA3AC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73.81 </w:t>
            </w:r>
          </w:p>
        </w:tc>
        <w:tc>
          <w:tcPr>
            <w:tcW w:w="931" w:type="dxa"/>
            <w:tcBorders>
              <w:top w:val="single" w:color="000000" w:sz="4" w:space="0"/>
              <w:left w:val="single" w:color="000000" w:sz="4" w:space="0"/>
              <w:bottom w:val="single" w:color="000000" w:sz="4" w:space="0"/>
              <w:right w:val="single" w:color="000000" w:sz="4" w:space="0"/>
            </w:tcBorders>
            <w:vAlign w:val="center"/>
          </w:tcPr>
          <w:p w14:paraId="33EE272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73.90 </w:t>
            </w:r>
          </w:p>
        </w:tc>
        <w:tc>
          <w:tcPr>
            <w:tcW w:w="931" w:type="dxa"/>
            <w:tcBorders>
              <w:top w:val="single" w:color="000000" w:sz="4" w:space="0"/>
              <w:left w:val="single" w:color="000000" w:sz="4" w:space="0"/>
              <w:bottom w:val="single" w:color="000000" w:sz="4" w:space="0"/>
              <w:right w:val="single" w:color="000000" w:sz="4" w:space="0"/>
            </w:tcBorders>
            <w:vAlign w:val="center"/>
          </w:tcPr>
          <w:p w14:paraId="1284F09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73.92 </w:t>
            </w:r>
          </w:p>
        </w:tc>
        <w:tc>
          <w:tcPr>
            <w:tcW w:w="931" w:type="dxa"/>
            <w:tcBorders>
              <w:top w:val="single" w:color="000000" w:sz="4" w:space="0"/>
              <w:left w:val="single" w:color="000000" w:sz="4" w:space="0"/>
              <w:bottom w:val="single" w:color="000000" w:sz="4" w:space="0"/>
              <w:right w:val="single" w:color="000000" w:sz="4" w:space="0"/>
            </w:tcBorders>
            <w:vAlign w:val="center"/>
          </w:tcPr>
          <w:p w14:paraId="0AD8662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73.93 </w:t>
            </w:r>
          </w:p>
        </w:tc>
        <w:tc>
          <w:tcPr>
            <w:tcW w:w="1020" w:type="dxa"/>
            <w:tcBorders>
              <w:top w:val="single" w:color="000000" w:sz="4" w:space="0"/>
              <w:left w:val="single" w:color="000000" w:sz="4" w:space="0"/>
              <w:bottom w:val="single" w:color="000000" w:sz="4" w:space="0"/>
              <w:right w:val="single" w:color="000000" w:sz="4" w:space="0"/>
            </w:tcBorders>
            <w:vAlign w:val="center"/>
          </w:tcPr>
          <w:p w14:paraId="2D28B97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74.02 </w:t>
            </w:r>
          </w:p>
        </w:tc>
        <w:tc>
          <w:tcPr>
            <w:tcW w:w="1020" w:type="dxa"/>
            <w:tcBorders>
              <w:top w:val="single" w:color="000000" w:sz="4" w:space="0"/>
              <w:left w:val="single" w:color="000000" w:sz="4" w:space="0"/>
              <w:bottom w:val="single" w:color="000000" w:sz="4" w:space="0"/>
              <w:right w:val="single" w:color="000000" w:sz="4" w:space="0"/>
            </w:tcBorders>
            <w:vAlign w:val="center"/>
          </w:tcPr>
          <w:p w14:paraId="3F5F340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74.04 </w:t>
            </w:r>
          </w:p>
        </w:tc>
        <w:tc>
          <w:tcPr>
            <w:tcW w:w="1021" w:type="dxa"/>
            <w:tcBorders>
              <w:top w:val="single" w:color="000000" w:sz="4" w:space="0"/>
              <w:left w:val="single" w:color="000000" w:sz="4" w:space="0"/>
              <w:bottom w:val="single" w:color="000000" w:sz="4" w:space="0"/>
              <w:right w:val="single" w:color="000000" w:sz="4" w:space="0"/>
            </w:tcBorders>
            <w:vAlign w:val="center"/>
          </w:tcPr>
          <w:p w14:paraId="4677606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74.05 </w:t>
            </w:r>
          </w:p>
        </w:tc>
        <w:tc>
          <w:tcPr>
            <w:tcW w:w="1021" w:type="dxa"/>
            <w:tcBorders>
              <w:top w:val="single" w:color="000000" w:sz="4" w:space="0"/>
              <w:left w:val="single" w:color="000000" w:sz="4" w:space="0"/>
              <w:bottom w:val="single" w:color="000000" w:sz="4" w:space="0"/>
              <w:right w:val="single" w:color="000000" w:sz="4" w:space="0"/>
            </w:tcBorders>
            <w:vAlign w:val="center"/>
          </w:tcPr>
          <w:p w14:paraId="09F9B08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74.14 </w:t>
            </w:r>
          </w:p>
        </w:tc>
      </w:tr>
      <w:tr w14:paraId="6A1370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411EAF2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2、育苗原材料费用</w:t>
            </w:r>
          </w:p>
        </w:tc>
        <w:tc>
          <w:tcPr>
            <w:tcW w:w="1110" w:type="dxa"/>
            <w:tcBorders>
              <w:top w:val="single" w:color="000000" w:sz="4" w:space="0"/>
              <w:left w:val="single" w:color="000000" w:sz="4" w:space="0"/>
              <w:bottom w:val="single" w:color="000000" w:sz="4" w:space="0"/>
              <w:right w:val="single" w:color="000000" w:sz="4" w:space="0"/>
            </w:tcBorders>
            <w:vAlign w:val="center"/>
          </w:tcPr>
          <w:p w14:paraId="28A4DBF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634033F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4,051.71 </w:t>
            </w:r>
          </w:p>
        </w:tc>
        <w:tc>
          <w:tcPr>
            <w:tcW w:w="1020" w:type="dxa"/>
            <w:tcBorders>
              <w:top w:val="single" w:color="000000" w:sz="4" w:space="0"/>
              <w:left w:val="single" w:color="000000" w:sz="4" w:space="0"/>
              <w:bottom w:val="single" w:color="000000" w:sz="4" w:space="0"/>
              <w:right w:val="single" w:color="000000" w:sz="4" w:space="0"/>
            </w:tcBorders>
            <w:vAlign w:val="center"/>
          </w:tcPr>
          <w:p w14:paraId="37D1427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3D78109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747A0B5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433.88 </w:t>
            </w:r>
          </w:p>
        </w:tc>
        <w:tc>
          <w:tcPr>
            <w:tcW w:w="931" w:type="dxa"/>
            <w:tcBorders>
              <w:top w:val="single" w:color="000000" w:sz="4" w:space="0"/>
              <w:left w:val="single" w:color="000000" w:sz="4" w:space="0"/>
              <w:bottom w:val="single" w:color="000000" w:sz="4" w:space="0"/>
              <w:right w:val="single" w:color="000000" w:sz="4" w:space="0"/>
            </w:tcBorders>
            <w:vAlign w:val="center"/>
          </w:tcPr>
          <w:p w14:paraId="573536B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435.32 </w:t>
            </w:r>
          </w:p>
        </w:tc>
        <w:tc>
          <w:tcPr>
            <w:tcW w:w="931" w:type="dxa"/>
            <w:tcBorders>
              <w:top w:val="single" w:color="000000" w:sz="4" w:space="0"/>
              <w:left w:val="single" w:color="000000" w:sz="4" w:space="0"/>
              <w:bottom w:val="single" w:color="000000" w:sz="4" w:space="0"/>
              <w:right w:val="single" w:color="000000" w:sz="4" w:space="0"/>
            </w:tcBorders>
            <w:vAlign w:val="center"/>
          </w:tcPr>
          <w:p w14:paraId="1352236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444.11 </w:t>
            </w:r>
          </w:p>
        </w:tc>
        <w:tc>
          <w:tcPr>
            <w:tcW w:w="931" w:type="dxa"/>
            <w:tcBorders>
              <w:top w:val="single" w:color="000000" w:sz="4" w:space="0"/>
              <w:left w:val="single" w:color="000000" w:sz="4" w:space="0"/>
              <w:bottom w:val="single" w:color="000000" w:sz="4" w:space="0"/>
              <w:right w:val="single" w:color="000000" w:sz="4" w:space="0"/>
            </w:tcBorders>
            <w:vAlign w:val="center"/>
          </w:tcPr>
          <w:p w14:paraId="1A2BF1E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445.65 </w:t>
            </w:r>
          </w:p>
        </w:tc>
        <w:tc>
          <w:tcPr>
            <w:tcW w:w="931" w:type="dxa"/>
            <w:tcBorders>
              <w:top w:val="single" w:color="000000" w:sz="4" w:space="0"/>
              <w:left w:val="single" w:color="000000" w:sz="4" w:space="0"/>
              <w:bottom w:val="single" w:color="000000" w:sz="4" w:space="0"/>
              <w:right w:val="single" w:color="000000" w:sz="4" w:space="0"/>
            </w:tcBorders>
            <w:vAlign w:val="center"/>
          </w:tcPr>
          <w:p w14:paraId="69103E6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447.21 </w:t>
            </w:r>
          </w:p>
        </w:tc>
        <w:tc>
          <w:tcPr>
            <w:tcW w:w="1020" w:type="dxa"/>
            <w:tcBorders>
              <w:top w:val="single" w:color="000000" w:sz="4" w:space="0"/>
              <w:left w:val="single" w:color="000000" w:sz="4" w:space="0"/>
              <w:bottom w:val="single" w:color="000000" w:sz="4" w:space="0"/>
              <w:right w:val="single" w:color="000000" w:sz="4" w:space="0"/>
            </w:tcBorders>
            <w:vAlign w:val="center"/>
          </w:tcPr>
          <w:p w14:paraId="30B6180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456.72 </w:t>
            </w:r>
          </w:p>
        </w:tc>
        <w:tc>
          <w:tcPr>
            <w:tcW w:w="1020" w:type="dxa"/>
            <w:tcBorders>
              <w:top w:val="single" w:color="000000" w:sz="4" w:space="0"/>
              <w:left w:val="single" w:color="000000" w:sz="4" w:space="0"/>
              <w:bottom w:val="single" w:color="000000" w:sz="4" w:space="0"/>
              <w:right w:val="single" w:color="000000" w:sz="4" w:space="0"/>
            </w:tcBorders>
            <w:vAlign w:val="center"/>
          </w:tcPr>
          <w:p w14:paraId="0DC7D68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458.39 </w:t>
            </w:r>
          </w:p>
        </w:tc>
        <w:tc>
          <w:tcPr>
            <w:tcW w:w="1021" w:type="dxa"/>
            <w:tcBorders>
              <w:top w:val="single" w:color="000000" w:sz="4" w:space="0"/>
              <w:left w:val="single" w:color="000000" w:sz="4" w:space="0"/>
              <w:bottom w:val="single" w:color="000000" w:sz="4" w:space="0"/>
              <w:right w:val="single" w:color="000000" w:sz="4" w:space="0"/>
            </w:tcBorders>
            <w:vAlign w:val="center"/>
          </w:tcPr>
          <w:p w14:paraId="7D2D5AA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460.07 </w:t>
            </w:r>
          </w:p>
        </w:tc>
        <w:tc>
          <w:tcPr>
            <w:tcW w:w="1021" w:type="dxa"/>
            <w:tcBorders>
              <w:top w:val="single" w:color="000000" w:sz="4" w:space="0"/>
              <w:left w:val="single" w:color="000000" w:sz="4" w:space="0"/>
              <w:bottom w:val="single" w:color="000000" w:sz="4" w:space="0"/>
              <w:right w:val="single" w:color="000000" w:sz="4" w:space="0"/>
            </w:tcBorders>
            <w:vAlign w:val="center"/>
          </w:tcPr>
          <w:p w14:paraId="3D2F594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470.36 </w:t>
            </w:r>
          </w:p>
        </w:tc>
      </w:tr>
      <w:tr w14:paraId="1BF38CB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730E741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3、土地流转费用</w:t>
            </w:r>
          </w:p>
        </w:tc>
        <w:tc>
          <w:tcPr>
            <w:tcW w:w="1110" w:type="dxa"/>
            <w:tcBorders>
              <w:top w:val="single" w:color="000000" w:sz="4" w:space="0"/>
              <w:left w:val="single" w:color="000000" w:sz="4" w:space="0"/>
              <w:bottom w:val="single" w:color="000000" w:sz="4" w:space="0"/>
              <w:right w:val="single" w:color="000000" w:sz="4" w:space="0"/>
            </w:tcBorders>
            <w:vAlign w:val="center"/>
          </w:tcPr>
          <w:p w14:paraId="78784C9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77FB222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1,900.00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67848A8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24188EB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43D39E1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200.00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32FD72B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200.00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377A59F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200.00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77B4BD2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200.00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48B2611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220.00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47B3B1A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220.00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5EAF80C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220.00 </w:t>
            </w:r>
          </w:p>
        </w:tc>
        <w:tc>
          <w:tcPr>
            <w:tcW w:w="1021" w:type="dxa"/>
            <w:tcBorders>
              <w:top w:val="single" w:color="000000" w:sz="4" w:space="0"/>
              <w:left w:val="single" w:color="000000" w:sz="4" w:space="0"/>
              <w:bottom w:val="single" w:color="000000" w:sz="4" w:space="0"/>
              <w:right w:val="single" w:color="000000" w:sz="4" w:space="0"/>
            </w:tcBorders>
            <w:vAlign w:val="center"/>
          </w:tcPr>
          <w:p w14:paraId="514C17C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220.00 </w:t>
            </w:r>
          </w:p>
        </w:tc>
        <w:tc>
          <w:tcPr>
            <w:tcW w:w="1021" w:type="dxa"/>
            <w:tcBorders>
              <w:top w:val="single" w:color="000000" w:sz="4" w:space="0"/>
              <w:left w:val="single" w:color="000000" w:sz="4" w:space="0"/>
              <w:bottom w:val="single" w:color="000000" w:sz="4" w:space="0"/>
              <w:right w:val="single" w:color="000000" w:sz="4" w:space="0"/>
            </w:tcBorders>
            <w:vAlign w:val="center"/>
          </w:tcPr>
          <w:p w14:paraId="0E28785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220.00 </w:t>
            </w:r>
          </w:p>
        </w:tc>
      </w:tr>
      <w:tr w14:paraId="2D65C31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32E2259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4、人员工资及福利</w:t>
            </w:r>
          </w:p>
        </w:tc>
        <w:tc>
          <w:tcPr>
            <w:tcW w:w="1110" w:type="dxa"/>
            <w:tcBorders>
              <w:top w:val="single" w:color="000000" w:sz="4" w:space="0"/>
              <w:left w:val="single" w:color="000000" w:sz="4" w:space="0"/>
              <w:bottom w:val="single" w:color="000000" w:sz="4" w:space="0"/>
              <w:right w:val="single" w:color="000000" w:sz="4" w:space="0"/>
            </w:tcBorders>
            <w:vAlign w:val="center"/>
          </w:tcPr>
          <w:p w14:paraId="0AE9321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18D9FE4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2,740.31 </w:t>
            </w:r>
          </w:p>
        </w:tc>
        <w:tc>
          <w:tcPr>
            <w:tcW w:w="1020" w:type="dxa"/>
            <w:tcBorders>
              <w:top w:val="single" w:color="000000" w:sz="4" w:space="0"/>
              <w:left w:val="single" w:color="000000" w:sz="4" w:space="0"/>
              <w:bottom w:val="single" w:color="000000" w:sz="4" w:space="0"/>
              <w:right w:val="single" w:color="000000" w:sz="4" w:space="0"/>
            </w:tcBorders>
            <w:vAlign w:val="center"/>
          </w:tcPr>
          <w:p w14:paraId="7CB4F8E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21EF6D3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5DAD777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285.00 </w:t>
            </w:r>
          </w:p>
        </w:tc>
        <w:tc>
          <w:tcPr>
            <w:tcW w:w="931" w:type="dxa"/>
            <w:tcBorders>
              <w:top w:val="single" w:color="000000" w:sz="4" w:space="0"/>
              <w:left w:val="single" w:color="000000" w:sz="4" w:space="0"/>
              <w:bottom w:val="single" w:color="000000" w:sz="4" w:space="0"/>
              <w:right w:val="single" w:color="000000" w:sz="4" w:space="0"/>
            </w:tcBorders>
            <w:vAlign w:val="center"/>
          </w:tcPr>
          <w:p w14:paraId="1FFD96A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285.00 </w:t>
            </w:r>
          </w:p>
        </w:tc>
        <w:tc>
          <w:tcPr>
            <w:tcW w:w="931" w:type="dxa"/>
            <w:tcBorders>
              <w:top w:val="single" w:color="000000" w:sz="4" w:space="0"/>
              <w:left w:val="single" w:color="000000" w:sz="4" w:space="0"/>
              <w:bottom w:val="single" w:color="000000" w:sz="4" w:space="0"/>
              <w:right w:val="single" w:color="000000" w:sz="4" w:space="0"/>
            </w:tcBorders>
            <w:vAlign w:val="center"/>
          </w:tcPr>
          <w:p w14:paraId="3EF608E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299.25 </w:t>
            </w:r>
          </w:p>
        </w:tc>
        <w:tc>
          <w:tcPr>
            <w:tcW w:w="931" w:type="dxa"/>
            <w:tcBorders>
              <w:top w:val="single" w:color="000000" w:sz="4" w:space="0"/>
              <w:left w:val="single" w:color="000000" w:sz="4" w:space="0"/>
              <w:bottom w:val="single" w:color="000000" w:sz="4" w:space="0"/>
              <w:right w:val="single" w:color="000000" w:sz="4" w:space="0"/>
            </w:tcBorders>
            <w:vAlign w:val="center"/>
          </w:tcPr>
          <w:p w14:paraId="4D62AF2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299.25 </w:t>
            </w:r>
          </w:p>
        </w:tc>
        <w:tc>
          <w:tcPr>
            <w:tcW w:w="931" w:type="dxa"/>
            <w:tcBorders>
              <w:top w:val="single" w:color="000000" w:sz="4" w:space="0"/>
              <w:left w:val="single" w:color="000000" w:sz="4" w:space="0"/>
              <w:bottom w:val="single" w:color="000000" w:sz="4" w:space="0"/>
              <w:right w:val="single" w:color="000000" w:sz="4" w:space="0"/>
            </w:tcBorders>
            <w:vAlign w:val="center"/>
          </w:tcPr>
          <w:p w14:paraId="661571C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299.25 </w:t>
            </w:r>
          </w:p>
        </w:tc>
        <w:tc>
          <w:tcPr>
            <w:tcW w:w="1020" w:type="dxa"/>
            <w:tcBorders>
              <w:top w:val="single" w:color="000000" w:sz="4" w:space="0"/>
              <w:left w:val="single" w:color="000000" w:sz="4" w:space="0"/>
              <w:bottom w:val="single" w:color="000000" w:sz="4" w:space="0"/>
              <w:right w:val="single" w:color="000000" w:sz="4" w:space="0"/>
            </w:tcBorders>
            <w:vAlign w:val="center"/>
          </w:tcPr>
          <w:p w14:paraId="1686B99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314.21 </w:t>
            </w:r>
          </w:p>
        </w:tc>
        <w:tc>
          <w:tcPr>
            <w:tcW w:w="1020" w:type="dxa"/>
            <w:tcBorders>
              <w:top w:val="single" w:color="000000" w:sz="4" w:space="0"/>
              <w:left w:val="single" w:color="000000" w:sz="4" w:space="0"/>
              <w:bottom w:val="single" w:color="000000" w:sz="4" w:space="0"/>
              <w:right w:val="single" w:color="000000" w:sz="4" w:space="0"/>
            </w:tcBorders>
            <w:vAlign w:val="center"/>
          </w:tcPr>
          <w:p w14:paraId="3335590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314.21 </w:t>
            </w:r>
          </w:p>
        </w:tc>
        <w:tc>
          <w:tcPr>
            <w:tcW w:w="1021" w:type="dxa"/>
            <w:tcBorders>
              <w:top w:val="single" w:color="000000" w:sz="4" w:space="0"/>
              <w:left w:val="single" w:color="000000" w:sz="4" w:space="0"/>
              <w:bottom w:val="single" w:color="000000" w:sz="4" w:space="0"/>
              <w:right w:val="single" w:color="000000" w:sz="4" w:space="0"/>
            </w:tcBorders>
            <w:vAlign w:val="center"/>
          </w:tcPr>
          <w:p w14:paraId="2878F0D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314.21 </w:t>
            </w:r>
          </w:p>
        </w:tc>
        <w:tc>
          <w:tcPr>
            <w:tcW w:w="1021" w:type="dxa"/>
            <w:tcBorders>
              <w:top w:val="single" w:color="000000" w:sz="4" w:space="0"/>
              <w:left w:val="single" w:color="000000" w:sz="4" w:space="0"/>
              <w:bottom w:val="single" w:color="000000" w:sz="4" w:space="0"/>
              <w:right w:val="single" w:color="000000" w:sz="4" w:space="0"/>
            </w:tcBorders>
            <w:vAlign w:val="center"/>
          </w:tcPr>
          <w:p w14:paraId="3829B21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329.92 </w:t>
            </w:r>
          </w:p>
        </w:tc>
      </w:tr>
      <w:tr w14:paraId="070EDA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0A35436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5、销售费用</w:t>
            </w:r>
          </w:p>
        </w:tc>
        <w:tc>
          <w:tcPr>
            <w:tcW w:w="1110" w:type="dxa"/>
            <w:tcBorders>
              <w:top w:val="single" w:color="000000" w:sz="4" w:space="0"/>
              <w:left w:val="single" w:color="000000" w:sz="4" w:space="0"/>
              <w:bottom w:val="single" w:color="000000" w:sz="4" w:space="0"/>
              <w:right w:val="single" w:color="000000" w:sz="4" w:space="0"/>
            </w:tcBorders>
            <w:vAlign w:val="center"/>
          </w:tcPr>
          <w:p w14:paraId="6DE6BE8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72A74B9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1,656.14 </w:t>
            </w:r>
          </w:p>
        </w:tc>
        <w:tc>
          <w:tcPr>
            <w:tcW w:w="1020" w:type="dxa"/>
            <w:tcBorders>
              <w:top w:val="single" w:color="000000" w:sz="4" w:space="0"/>
              <w:left w:val="single" w:color="000000" w:sz="4" w:space="0"/>
              <w:bottom w:val="single" w:color="000000" w:sz="4" w:space="0"/>
              <w:right w:val="single" w:color="000000" w:sz="4" w:space="0"/>
            </w:tcBorders>
            <w:vAlign w:val="center"/>
          </w:tcPr>
          <w:p w14:paraId="64A1620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7EF3F91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20A634A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169.61 </w:t>
            </w:r>
          </w:p>
        </w:tc>
        <w:tc>
          <w:tcPr>
            <w:tcW w:w="931" w:type="dxa"/>
            <w:tcBorders>
              <w:top w:val="single" w:color="000000" w:sz="4" w:space="0"/>
              <w:left w:val="single" w:color="000000" w:sz="4" w:space="0"/>
              <w:bottom w:val="single" w:color="000000" w:sz="4" w:space="0"/>
              <w:right w:val="single" w:color="000000" w:sz="4" w:space="0"/>
            </w:tcBorders>
            <w:vAlign w:val="center"/>
          </w:tcPr>
          <w:p w14:paraId="7322424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170.88 </w:t>
            </w:r>
          </w:p>
        </w:tc>
        <w:tc>
          <w:tcPr>
            <w:tcW w:w="931" w:type="dxa"/>
            <w:tcBorders>
              <w:top w:val="single" w:color="000000" w:sz="4" w:space="0"/>
              <w:left w:val="single" w:color="000000" w:sz="4" w:space="0"/>
              <w:bottom w:val="single" w:color="000000" w:sz="4" w:space="0"/>
              <w:right w:val="single" w:color="000000" w:sz="4" w:space="0"/>
            </w:tcBorders>
            <w:vAlign w:val="center"/>
          </w:tcPr>
          <w:p w14:paraId="03EBA8B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178.65 </w:t>
            </w:r>
          </w:p>
        </w:tc>
        <w:tc>
          <w:tcPr>
            <w:tcW w:w="931" w:type="dxa"/>
            <w:tcBorders>
              <w:top w:val="single" w:color="000000" w:sz="4" w:space="0"/>
              <w:left w:val="single" w:color="000000" w:sz="4" w:space="0"/>
              <w:bottom w:val="single" w:color="000000" w:sz="4" w:space="0"/>
              <w:right w:val="single" w:color="000000" w:sz="4" w:space="0"/>
            </w:tcBorders>
            <w:vAlign w:val="center"/>
          </w:tcPr>
          <w:p w14:paraId="5AC7252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180.01 </w:t>
            </w:r>
          </w:p>
        </w:tc>
        <w:tc>
          <w:tcPr>
            <w:tcW w:w="931" w:type="dxa"/>
            <w:tcBorders>
              <w:top w:val="single" w:color="000000" w:sz="4" w:space="0"/>
              <w:left w:val="single" w:color="000000" w:sz="4" w:space="0"/>
              <w:bottom w:val="single" w:color="000000" w:sz="4" w:space="0"/>
              <w:right w:val="single" w:color="000000" w:sz="4" w:space="0"/>
            </w:tcBorders>
            <w:vAlign w:val="center"/>
          </w:tcPr>
          <w:p w14:paraId="3C7A49E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181.38 </w:t>
            </w:r>
          </w:p>
        </w:tc>
        <w:tc>
          <w:tcPr>
            <w:tcW w:w="1020" w:type="dxa"/>
            <w:tcBorders>
              <w:top w:val="single" w:color="000000" w:sz="4" w:space="0"/>
              <w:left w:val="single" w:color="000000" w:sz="4" w:space="0"/>
              <w:bottom w:val="single" w:color="000000" w:sz="4" w:space="0"/>
              <w:right w:val="single" w:color="000000" w:sz="4" w:space="0"/>
            </w:tcBorders>
            <w:vAlign w:val="center"/>
          </w:tcPr>
          <w:p w14:paraId="288D949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189.78 </w:t>
            </w:r>
          </w:p>
        </w:tc>
        <w:tc>
          <w:tcPr>
            <w:tcW w:w="1020" w:type="dxa"/>
            <w:tcBorders>
              <w:top w:val="single" w:color="000000" w:sz="4" w:space="0"/>
              <w:left w:val="single" w:color="000000" w:sz="4" w:space="0"/>
              <w:bottom w:val="single" w:color="000000" w:sz="4" w:space="0"/>
              <w:right w:val="single" w:color="000000" w:sz="4" w:space="0"/>
            </w:tcBorders>
            <w:vAlign w:val="center"/>
          </w:tcPr>
          <w:p w14:paraId="2EBF42C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191.25 </w:t>
            </w:r>
          </w:p>
        </w:tc>
        <w:tc>
          <w:tcPr>
            <w:tcW w:w="1021" w:type="dxa"/>
            <w:tcBorders>
              <w:top w:val="single" w:color="000000" w:sz="4" w:space="0"/>
              <w:left w:val="single" w:color="000000" w:sz="4" w:space="0"/>
              <w:bottom w:val="single" w:color="000000" w:sz="4" w:space="0"/>
              <w:right w:val="single" w:color="000000" w:sz="4" w:space="0"/>
            </w:tcBorders>
            <w:vAlign w:val="center"/>
          </w:tcPr>
          <w:p w14:paraId="6D3AA85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192.74 </w:t>
            </w:r>
          </w:p>
        </w:tc>
        <w:tc>
          <w:tcPr>
            <w:tcW w:w="1021" w:type="dxa"/>
            <w:tcBorders>
              <w:top w:val="single" w:color="000000" w:sz="4" w:space="0"/>
              <w:left w:val="single" w:color="000000" w:sz="4" w:space="0"/>
              <w:bottom w:val="single" w:color="000000" w:sz="4" w:space="0"/>
              <w:right w:val="single" w:color="000000" w:sz="4" w:space="0"/>
            </w:tcBorders>
            <w:vAlign w:val="center"/>
          </w:tcPr>
          <w:p w14:paraId="3219907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201.83 </w:t>
            </w:r>
          </w:p>
        </w:tc>
      </w:tr>
      <w:tr w14:paraId="177791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13C7D91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6、日常维修维护费</w:t>
            </w:r>
          </w:p>
        </w:tc>
        <w:tc>
          <w:tcPr>
            <w:tcW w:w="1110" w:type="dxa"/>
            <w:tcBorders>
              <w:top w:val="single" w:color="000000" w:sz="4" w:space="0"/>
              <w:left w:val="single" w:color="000000" w:sz="4" w:space="0"/>
              <w:bottom w:val="single" w:color="000000" w:sz="4" w:space="0"/>
              <w:right w:val="single" w:color="000000" w:sz="4" w:space="0"/>
            </w:tcBorders>
            <w:vAlign w:val="center"/>
          </w:tcPr>
          <w:p w14:paraId="39855A3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194D8FA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768.34 </w:t>
            </w:r>
          </w:p>
        </w:tc>
        <w:tc>
          <w:tcPr>
            <w:tcW w:w="1020" w:type="dxa"/>
            <w:tcBorders>
              <w:top w:val="single" w:color="000000" w:sz="4" w:space="0"/>
              <w:left w:val="single" w:color="000000" w:sz="4" w:space="0"/>
              <w:bottom w:val="single" w:color="000000" w:sz="4" w:space="0"/>
              <w:right w:val="single" w:color="000000" w:sz="4" w:space="0"/>
            </w:tcBorders>
            <w:vAlign w:val="center"/>
          </w:tcPr>
          <w:p w14:paraId="0DAB048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4DAE052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708B3F8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85.18 </w:t>
            </w:r>
          </w:p>
        </w:tc>
        <w:tc>
          <w:tcPr>
            <w:tcW w:w="931" w:type="dxa"/>
            <w:tcBorders>
              <w:top w:val="single" w:color="000000" w:sz="4" w:space="0"/>
              <w:left w:val="single" w:color="000000" w:sz="4" w:space="0"/>
              <w:bottom w:val="single" w:color="000000" w:sz="4" w:space="0"/>
              <w:right w:val="single" w:color="000000" w:sz="4" w:space="0"/>
            </w:tcBorders>
            <w:vAlign w:val="center"/>
          </w:tcPr>
          <w:p w14:paraId="0FFE5E8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85.20 </w:t>
            </w:r>
          </w:p>
        </w:tc>
        <w:tc>
          <w:tcPr>
            <w:tcW w:w="931" w:type="dxa"/>
            <w:tcBorders>
              <w:top w:val="single" w:color="000000" w:sz="4" w:space="0"/>
              <w:left w:val="single" w:color="000000" w:sz="4" w:space="0"/>
              <w:bottom w:val="single" w:color="000000" w:sz="4" w:space="0"/>
              <w:right w:val="single" w:color="000000" w:sz="4" w:space="0"/>
            </w:tcBorders>
            <w:vAlign w:val="center"/>
          </w:tcPr>
          <w:p w14:paraId="4767DE9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85.31 </w:t>
            </w:r>
          </w:p>
        </w:tc>
        <w:tc>
          <w:tcPr>
            <w:tcW w:w="931" w:type="dxa"/>
            <w:tcBorders>
              <w:top w:val="single" w:color="000000" w:sz="4" w:space="0"/>
              <w:left w:val="single" w:color="000000" w:sz="4" w:space="0"/>
              <w:bottom w:val="single" w:color="000000" w:sz="4" w:space="0"/>
              <w:right w:val="single" w:color="000000" w:sz="4" w:space="0"/>
            </w:tcBorders>
            <w:vAlign w:val="center"/>
          </w:tcPr>
          <w:p w14:paraId="6FBF1A4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85.33 </w:t>
            </w:r>
          </w:p>
        </w:tc>
        <w:tc>
          <w:tcPr>
            <w:tcW w:w="931" w:type="dxa"/>
            <w:tcBorders>
              <w:top w:val="single" w:color="000000" w:sz="4" w:space="0"/>
              <w:left w:val="single" w:color="000000" w:sz="4" w:space="0"/>
              <w:bottom w:val="single" w:color="000000" w:sz="4" w:space="0"/>
              <w:right w:val="single" w:color="000000" w:sz="4" w:space="0"/>
            </w:tcBorders>
            <w:vAlign w:val="center"/>
          </w:tcPr>
          <w:p w14:paraId="48C0697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85.34 </w:t>
            </w:r>
          </w:p>
        </w:tc>
        <w:tc>
          <w:tcPr>
            <w:tcW w:w="1020" w:type="dxa"/>
            <w:tcBorders>
              <w:top w:val="single" w:color="000000" w:sz="4" w:space="0"/>
              <w:left w:val="single" w:color="000000" w:sz="4" w:space="0"/>
              <w:bottom w:val="single" w:color="000000" w:sz="4" w:space="0"/>
              <w:right w:val="single" w:color="000000" w:sz="4" w:space="0"/>
            </w:tcBorders>
            <w:vAlign w:val="center"/>
          </w:tcPr>
          <w:p w14:paraId="24F4498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85.45 </w:t>
            </w:r>
          </w:p>
        </w:tc>
        <w:tc>
          <w:tcPr>
            <w:tcW w:w="1020" w:type="dxa"/>
            <w:tcBorders>
              <w:top w:val="single" w:color="000000" w:sz="4" w:space="0"/>
              <w:left w:val="single" w:color="000000" w:sz="4" w:space="0"/>
              <w:bottom w:val="single" w:color="000000" w:sz="4" w:space="0"/>
              <w:right w:val="single" w:color="000000" w:sz="4" w:space="0"/>
            </w:tcBorders>
            <w:vAlign w:val="center"/>
          </w:tcPr>
          <w:p w14:paraId="3A4FB6C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85.47 </w:t>
            </w:r>
          </w:p>
        </w:tc>
        <w:tc>
          <w:tcPr>
            <w:tcW w:w="1021" w:type="dxa"/>
            <w:tcBorders>
              <w:top w:val="single" w:color="000000" w:sz="4" w:space="0"/>
              <w:left w:val="single" w:color="000000" w:sz="4" w:space="0"/>
              <w:bottom w:val="single" w:color="000000" w:sz="4" w:space="0"/>
              <w:right w:val="single" w:color="000000" w:sz="4" w:space="0"/>
            </w:tcBorders>
            <w:vAlign w:val="center"/>
          </w:tcPr>
          <w:p w14:paraId="23AFADA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85.48 </w:t>
            </w:r>
          </w:p>
        </w:tc>
        <w:tc>
          <w:tcPr>
            <w:tcW w:w="1021" w:type="dxa"/>
            <w:tcBorders>
              <w:top w:val="single" w:color="000000" w:sz="4" w:space="0"/>
              <w:left w:val="single" w:color="000000" w:sz="4" w:space="0"/>
              <w:bottom w:val="single" w:color="000000" w:sz="4" w:space="0"/>
              <w:right w:val="single" w:color="000000" w:sz="4" w:space="0"/>
            </w:tcBorders>
            <w:vAlign w:val="center"/>
          </w:tcPr>
          <w:p w14:paraId="0D12C41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85.58 </w:t>
            </w:r>
          </w:p>
        </w:tc>
      </w:tr>
      <w:tr w14:paraId="263C7D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70140D7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7、运营管理及其他费用</w:t>
            </w:r>
          </w:p>
        </w:tc>
        <w:tc>
          <w:tcPr>
            <w:tcW w:w="1110" w:type="dxa"/>
            <w:tcBorders>
              <w:top w:val="single" w:color="000000" w:sz="4" w:space="0"/>
              <w:left w:val="single" w:color="000000" w:sz="4" w:space="0"/>
              <w:bottom w:val="single" w:color="000000" w:sz="4" w:space="0"/>
              <w:right w:val="single" w:color="000000" w:sz="4" w:space="0"/>
            </w:tcBorders>
            <w:vAlign w:val="center"/>
          </w:tcPr>
          <w:p w14:paraId="74142A5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3D0247F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331.23 </w:t>
            </w:r>
          </w:p>
        </w:tc>
        <w:tc>
          <w:tcPr>
            <w:tcW w:w="1020" w:type="dxa"/>
            <w:tcBorders>
              <w:top w:val="single" w:color="000000" w:sz="4" w:space="0"/>
              <w:left w:val="single" w:color="000000" w:sz="4" w:space="0"/>
              <w:bottom w:val="single" w:color="000000" w:sz="4" w:space="0"/>
              <w:right w:val="single" w:color="000000" w:sz="4" w:space="0"/>
            </w:tcBorders>
            <w:vAlign w:val="center"/>
          </w:tcPr>
          <w:p w14:paraId="3CCFB65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67EE53B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73FCC32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33.92 </w:t>
            </w:r>
          </w:p>
        </w:tc>
        <w:tc>
          <w:tcPr>
            <w:tcW w:w="931" w:type="dxa"/>
            <w:tcBorders>
              <w:top w:val="single" w:color="000000" w:sz="4" w:space="0"/>
              <w:left w:val="single" w:color="000000" w:sz="4" w:space="0"/>
              <w:bottom w:val="single" w:color="000000" w:sz="4" w:space="0"/>
              <w:right w:val="single" w:color="000000" w:sz="4" w:space="0"/>
            </w:tcBorders>
            <w:vAlign w:val="center"/>
          </w:tcPr>
          <w:p w14:paraId="6EC4ADF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34.18 </w:t>
            </w:r>
          </w:p>
        </w:tc>
        <w:tc>
          <w:tcPr>
            <w:tcW w:w="931" w:type="dxa"/>
            <w:tcBorders>
              <w:top w:val="single" w:color="000000" w:sz="4" w:space="0"/>
              <w:left w:val="single" w:color="000000" w:sz="4" w:space="0"/>
              <w:bottom w:val="single" w:color="000000" w:sz="4" w:space="0"/>
              <w:right w:val="single" w:color="000000" w:sz="4" w:space="0"/>
            </w:tcBorders>
            <w:vAlign w:val="center"/>
          </w:tcPr>
          <w:p w14:paraId="057C252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35.73 </w:t>
            </w:r>
          </w:p>
        </w:tc>
        <w:tc>
          <w:tcPr>
            <w:tcW w:w="931" w:type="dxa"/>
            <w:tcBorders>
              <w:top w:val="single" w:color="000000" w:sz="4" w:space="0"/>
              <w:left w:val="single" w:color="000000" w:sz="4" w:space="0"/>
              <w:bottom w:val="single" w:color="000000" w:sz="4" w:space="0"/>
              <w:right w:val="single" w:color="000000" w:sz="4" w:space="0"/>
            </w:tcBorders>
            <w:vAlign w:val="center"/>
          </w:tcPr>
          <w:p w14:paraId="48C5199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36.00 </w:t>
            </w:r>
          </w:p>
        </w:tc>
        <w:tc>
          <w:tcPr>
            <w:tcW w:w="931" w:type="dxa"/>
            <w:tcBorders>
              <w:top w:val="single" w:color="000000" w:sz="4" w:space="0"/>
              <w:left w:val="single" w:color="000000" w:sz="4" w:space="0"/>
              <w:bottom w:val="single" w:color="000000" w:sz="4" w:space="0"/>
              <w:right w:val="single" w:color="000000" w:sz="4" w:space="0"/>
            </w:tcBorders>
            <w:vAlign w:val="center"/>
          </w:tcPr>
          <w:p w14:paraId="1461705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36.28 </w:t>
            </w:r>
          </w:p>
        </w:tc>
        <w:tc>
          <w:tcPr>
            <w:tcW w:w="1020" w:type="dxa"/>
            <w:tcBorders>
              <w:top w:val="single" w:color="000000" w:sz="4" w:space="0"/>
              <w:left w:val="single" w:color="000000" w:sz="4" w:space="0"/>
              <w:bottom w:val="single" w:color="000000" w:sz="4" w:space="0"/>
              <w:right w:val="single" w:color="000000" w:sz="4" w:space="0"/>
            </w:tcBorders>
            <w:vAlign w:val="center"/>
          </w:tcPr>
          <w:p w14:paraId="03F83E7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37.96 </w:t>
            </w:r>
          </w:p>
        </w:tc>
        <w:tc>
          <w:tcPr>
            <w:tcW w:w="1020" w:type="dxa"/>
            <w:tcBorders>
              <w:top w:val="single" w:color="000000" w:sz="4" w:space="0"/>
              <w:left w:val="single" w:color="000000" w:sz="4" w:space="0"/>
              <w:bottom w:val="single" w:color="000000" w:sz="4" w:space="0"/>
              <w:right w:val="single" w:color="000000" w:sz="4" w:space="0"/>
            </w:tcBorders>
            <w:vAlign w:val="center"/>
          </w:tcPr>
          <w:p w14:paraId="6ED4D6A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38.25 </w:t>
            </w:r>
          </w:p>
        </w:tc>
        <w:tc>
          <w:tcPr>
            <w:tcW w:w="1021" w:type="dxa"/>
            <w:tcBorders>
              <w:top w:val="single" w:color="000000" w:sz="4" w:space="0"/>
              <w:left w:val="single" w:color="000000" w:sz="4" w:space="0"/>
              <w:bottom w:val="single" w:color="000000" w:sz="4" w:space="0"/>
              <w:right w:val="single" w:color="000000" w:sz="4" w:space="0"/>
            </w:tcBorders>
            <w:vAlign w:val="center"/>
          </w:tcPr>
          <w:p w14:paraId="7407855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38.55 </w:t>
            </w:r>
          </w:p>
        </w:tc>
        <w:tc>
          <w:tcPr>
            <w:tcW w:w="1021" w:type="dxa"/>
            <w:tcBorders>
              <w:top w:val="single" w:color="000000" w:sz="4" w:space="0"/>
              <w:left w:val="single" w:color="000000" w:sz="4" w:space="0"/>
              <w:bottom w:val="single" w:color="000000" w:sz="4" w:space="0"/>
              <w:right w:val="single" w:color="000000" w:sz="4" w:space="0"/>
            </w:tcBorders>
            <w:vAlign w:val="center"/>
          </w:tcPr>
          <w:p w14:paraId="46567CA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40.37 </w:t>
            </w:r>
          </w:p>
        </w:tc>
      </w:tr>
      <w:tr w14:paraId="5F22899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118DCED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（二）支付的各项税费</w:t>
            </w:r>
          </w:p>
        </w:tc>
        <w:tc>
          <w:tcPr>
            <w:tcW w:w="1110" w:type="dxa"/>
            <w:tcBorders>
              <w:top w:val="single" w:color="000000" w:sz="4" w:space="0"/>
              <w:left w:val="single" w:color="000000" w:sz="4" w:space="0"/>
              <w:bottom w:val="single" w:color="000000" w:sz="4" w:space="0"/>
              <w:right w:val="single" w:color="000000" w:sz="4" w:space="0"/>
            </w:tcBorders>
            <w:vAlign w:val="center"/>
          </w:tcPr>
          <w:p w14:paraId="047B2C6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69CBFF1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1,979.31 </w:t>
            </w:r>
          </w:p>
        </w:tc>
        <w:tc>
          <w:tcPr>
            <w:tcW w:w="1020" w:type="dxa"/>
            <w:tcBorders>
              <w:top w:val="single" w:color="000000" w:sz="4" w:space="0"/>
              <w:left w:val="single" w:color="000000" w:sz="4" w:space="0"/>
              <w:bottom w:val="single" w:color="000000" w:sz="4" w:space="0"/>
              <w:right w:val="single" w:color="000000" w:sz="4" w:space="0"/>
            </w:tcBorders>
            <w:vAlign w:val="center"/>
          </w:tcPr>
          <w:p w14:paraId="3C61539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2DAE84F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4362C4C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155.73 </w:t>
            </w:r>
          </w:p>
        </w:tc>
        <w:tc>
          <w:tcPr>
            <w:tcW w:w="931" w:type="dxa"/>
            <w:tcBorders>
              <w:top w:val="single" w:color="000000" w:sz="4" w:space="0"/>
              <w:left w:val="single" w:color="000000" w:sz="4" w:space="0"/>
              <w:bottom w:val="single" w:color="000000" w:sz="4" w:space="0"/>
              <w:right w:val="single" w:color="000000" w:sz="4" w:space="0"/>
            </w:tcBorders>
            <w:vAlign w:val="center"/>
          </w:tcPr>
          <w:p w14:paraId="09000CC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161.29 </w:t>
            </w:r>
          </w:p>
        </w:tc>
        <w:tc>
          <w:tcPr>
            <w:tcW w:w="931" w:type="dxa"/>
            <w:tcBorders>
              <w:top w:val="single" w:color="000000" w:sz="4" w:space="0"/>
              <w:left w:val="single" w:color="000000" w:sz="4" w:space="0"/>
              <w:bottom w:val="single" w:color="000000" w:sz="4" w:space="0"/>
              <w:right w:val="single" w:color="000000" w:sz="4" w:space="0"/>
            </w:tcBorders>
            <w:vAlign w:val="center"/>
          </w:tcPr>
          <w:p w14:paraId="5D400E4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191.76 </w:t>
            </w:r>
          </w:p>
        </w:tc>
        <w:tc>
          <w:tcPr>
            <w:tcW w:w="931" w:type="dxa"/>
            <w:tcBorders>
              <w:top w:val="single" w:color="000000" w:sz="4" w:space="0"/>
              <w:left w:val="single" w:color="000000" w:sz="4" w:space="0"/>
              <w:bottom w:val="single" w:color="000000" w:sz="4" w:space="0"/>
              <w:right w:val="single" w:color="000000" w:sz="4" w:space="0"/>
            </w:tcBorders>
            <w:vAlign w:val="center"/>
          </w:tcPr>
          <w:p w14:paraId="28DA167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197.73 </w:t>
            </w:r>
          </w:p>
        </w:tc>
        <w:tc>
          <w:tcPr>
            <w:tcW w:w="931" w:type="dxa"/>
            <w:tcBorders>
              <w:top w:val="single" w:color="000000" w:sz="4" w:space="0"/>
              <w:left w:val="single" w:color="000000" w:sz="4" w:space="0"/>
              <w:bottom w:val="single" w:color="000000" w:sz="4" w:space="0"/>
              <w:right w:val="single" w:color="000000" w:sz="4" w:space="0"/>
            </w:tcBorders>
            <w:vAlign w:val="center"/>
          </w:tcPr>
          <w:p w14:paraId="7C0625F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198.76 </w:t>
            </w:r>
          </w:p>
        </w:tc>
        <w:tc>
          <w:tcPr>
            <w:tcW w:w="1020" w:type="dxa"/>
            <w:tcBorders>
              <w:top w:val="single" w:color="000000" w:sz="4" w:space="0"/>
              <w:left w:val="single" w:color="000000" w:sz="4" w:space="0"/>
              <w:bottom w:val="single" w:color="000000" w:sz="4" w:space="0"/>
              <w:right w:val="single" w:color="000000" w:sz="4" w:space="0"/>
            </w:tcBorders>
            <w:vAlign w:val="center"/>
          </w:tcPr>
          <w:p w14:paraId="0C355DB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231.87 </w:t>
            </w:r>
          </w:p>
        </w:tc>
        <w:tc>
          <w:tcPr>
            <w:tcW w:w="1020" w:type="dxa"/>
            <w:tcBorders>
              <w:top w:val="single" w:color="000000" w:sz="4" w:space="0"/>
              <w:left w:val="single" w:color="000000" w:sz="4" w:space="0"/>
              <w:bottom w:val="single" w:color="000000" w:sz="4" w:space="0"/>
              <w:right w:val="single" w:color="000000" w:sz="4" w:space="0"/>
            </w:tcBorders>
            <w:vAlign w:val="center"/>
          </w:tcPr>
          <w:p w14:paraId="556ED86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238.33 </w:t>
            </w:r>
          </w:p>
        </w:tc>
        <w:tc>
          <w:tcPr>
            <w:tcW w:w="1021" w:type="dxa"/>
            <w:tcBorders>
              <w:top w:val="single" w:color="000000" w:sz="4" w:space="0"/>
              <w:left w:val="single" w:color="000000" w:sz="4" w:space="0"/>
              <w:bottom w:val="single" w:color="000000" w:sz="4" w:space="0"/>
              <w:right w:val="single" w:color="000000" w:sz="4" w:space="0"/>
            </w:tcBorders>
            <w:vAlign w:val="center"/>
          </w:tcPr>
          <w:p w14:paraId="3CA24D0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244.86 </w:t>
            </w:r>
          </w:p>
        </w:tc>
        <w:tc>
          <w:tcPr>
            <w:tcW w:w="1021" w:type="dxa"/>
            <w:tcBorders>
              <w:top w:val="single" w:color="000000" w:sz="4" w:space="0"/>
              <w:left w:val="single" w:color="000000" w:sz="4" w:space="0"/>
              <w:bottom w:val="single" w:color="000000" w:sz="4" w:space="0"/>
              <w:right w:val="single" w:color="000000" w:sz="4" w:space="0"/>
            </w:tcBorders>
            <w:vAlign w:val="center"/>
          </w:tcPr>
          <w:p w14:paraId="2BDBCB9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358.97 </w:t>
            </w:r>
          </w:p>
        </w:tc>
      </w:tr>
      <w:tr w14:paraId="374FBF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7A8455B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1、增值税</w:t>
            </w:r>
          </w:p>
        </w:tc>
        <w:tc>
          <w:tcPr>
            <w:tcW w:w="1110" w:type="dxa"/>
            <w:tcBorders>
              <w:top w:val="single" w:color="000000" w:sz="4" w:space="0"/>
              <w:left w:val="single" w:color="000000" w:sz="4" w:space="0"/>
              <w:bottom w:val="single" w:color="000000" w:sz="4" w:space="0"/>
              <w:right w:val="single" w:color="000000" w:sz="4" w:space="0"/>
            </w:tcBorders>
            <w:vAlign w:val="center"/>
          </w:tcPr>
          <w:p w14:paraId="7B878E8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3E95753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89.08 </w:t>
            </w:r>
          </w:p>
        </w:tc>
        <w:tc>
          <w:tcPr>
            <w:tcW w:w="1020" w:type="dxa"/>
            <w:tcBorders>
              <w:top w:val="single" w:color="000000" w:sz="4" w:space="0"/>
              <w:left w:val="single" w:color="000000" w:sz="4" w:space="0"/>
              <w:bottom w:val="single" w:color="000000" w:sz="4" w:space="0"/>
              <w:right w:val="single" w:color="000000" w:sz="4" w:space="0"/>
            </w:tcBorders>
            <w:vAlign w:val="center"/>
          </w:tcPr>
          <w:p w14:paraId="039C1FA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3A7D47F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79DC507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7.64 </w:t>
            </w:r>
          </w:p>
        </w:tc>
        <w:tc>
          <w:tcPr>
            <w:tcW w:w="931" w:type="dxa"/>
            <w:tcBorders>
              <w:top w:val="single" w:color="000000" w:sz="4" w:space="0"/>
              <w:left w:val="single" w:color="000000" w:sz="4" w:space="0"/>
              <w:bottom w:val="single" w:color="000000" w:sz="4" w:space="0"/>
              <w:right w:val="single" w:color="000000" w:sz="4" w:space="0"/>
            </w:tcBorders>
            <w:vAlign w:val="center"/>
          </w:tcPr>
          <w:p w14:paraId="3EE872D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7.61 </w:t>
            </w:r>
          </w:p>
        </w:tc>
        <w:tc>
          <w:tcPr>
            <w:tcW w:w="931" w:type="dxa"/>
            <w:tcBorders>
              <w:top w:val="single" w:color="000000" w:sz="4" w:space="0"/>
              <w:left w:val="single" w:color="000000" w:sz="4" w:space="0"/>
              <w:bottom w:val="single" w:color="000000" w:sz="4" w:space="0"/>
              <w:right w:val="single" w:color="000000" w:sz="4" w:space="0"/>
            </w:tcBorders>
            <w:vAlign w:val="center"/>
          </w:tcPr>
          <w:p w14:paraId="5299EED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7.40 </w:t>
            </w:r>
          </w:p>
        </w:tc>
        <w:tc>
          <w:tcPr>
            <w:tcW w:w="931" w:type="dxa"/>
            <w:tcBorders>
              <w:top w:val="single" w:color="000000" w:sz="4" w:space="0"/>
              <w:left w:val="single" w:color="000000" w:sz="4" w:space="0"/>
              <w:bottom w:val="single" w:color="000000" w:sz="4" w:space="0"/>
              <w:right w:val="single" w:color="000000" w:sz="4" w:space="0"/>
            </w:tcBorders>
            <w:vAlign w:val="center"/>
          </w:tcPr>
          <w:p w14:paraId="312F921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7.37 </w:t>
            </w:r>
          </w:p>
        </w:tc>
        <w:tc>
          <w:tcPr>
            <w:tcW w:w="931" w:type="dxa"/>
            <w:tcBorders>
              <w:top w:val="single" w:color="000000" w:sz="4" w:space="0"/>
              <w:left w:val="single" w:color="000000" w:sz="4" w:space="0"/>
              <w:bottom w:val="single" w:color="000000" w:sz="4" w:space="0"/>
              <w:right w:val="single" w:color="000000" w:sz="4" w:space="0"/>
            </w:tcBorders>
            <w:vAlign w:val="center"/>
          </w:tcPr>
          <w:p w14:paraId="70AF8C2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7.33 </w:t>
            </w:r>
          </w:p>
        </w:tc>
        <w:tc>
          <w:tcPr>
            <w:tcW w:w="1020" w:type="dxa"/>
            <w:tcBorders>
              <w:top w:val="single" w:color="000000" w:sz="4" w:space="0"/>
              <w:left w:val="single" w:color="000000" w:sz="4" w:space="0"/>
              <w:bottom w:val="single" w:color="000000" w:sz="4" w:space="0"/>
              <w:right w:val="single" w:color="000000" w:sz="4" w:space="0"/>
            </w:tcBorders>
            <w:vAlign w:val="center"/>
          </w:tcPr>
          <w:p w14:paraId="10B6C57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7.14 </w:t>
            </w:r>
          </w:p>
        </w:tc>
        <w:tc>
          <w:tcPr>
            <w:tcW w:w="1020" w:type="dxa"/>
            <w:tcBorders>
              <w:top w:val="single" w:color="000000" w:sz="4" w:space="0"/>
              <w:left w:val="single" w:color="000000" w:sz="4" w:space="0"/>
              <w:bottom w:val="single" w:color="000000" w:sz="4" w:space="0"/>
              <w:right w:val="single" w:color="000000" w:sz="4" w:space="0"/>
            </w:tcBorders>
            <w:vAlign w:val="center"/>
          </w:tcPr>
          <w:p w14:paraId="09A1943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7.10 </w:t>
            </w:r>
          </w:p>
        </w:tc>
        <w:tc>
          <w:tcPr>
            <w:tcW w:w="1021" w:type="dxa"/>
            <w:tcBorders>
              <w:top w:val="single" w:color="000000" w:sz="4" w:space="0"/>
              <w:left w:val="single" w:color="000000" w:sz="4" w:space="0"/>
              <w:bottom w:val="single" w:color="000000" w:sz="4" w:space="0"/>
              <w:right w:val="single" w:color="000000" w:sz="4" w:space="0"/>
            </w:tcBorders>
            <w:vAlign w:val="center"/>
          </w:tcPr>
          <w:p w14:paraId="7659EA3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7.07 </w:t>
            </w:r>
          </w:p>
        </w:tc>
        <w:tc>
          <w:tcPr>
            <w:tcW w:w="1021" w:type="dxa"/>
            <w:tcBorders>
              <w:top w:val="single" w:color="000000" w:sz="4" w:space="0"/>
              <w:left w:val="single" w:color="000000" w:sz="4" w:space="0"/>
              <w:bottom w:val="single" w:color="000000" w:sz="4" w:space="0"/>
              <w:right w:val="single" w:color="000000" w:sz="4" w:space="0"/>
            </w:tcBorders>
            <w:vAlign w:val="center"/>
          </w:tcPr>
          <w:p w14:paraId="646207E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30.41 </w:t>
            </w:r>
          </w:p>
        </w:tc>
      </w:tr>
      <w:tr w14:paraId="00DD7E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6FDB40D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2、税金及附加</w:t>
            </w:r>
          </w:p>
        </w:tc>
        <w:tc>
          <w:tcPr>
            <w:tcW w:w="1110" w:type="dxa"/>
            <w:tcBorders>
              <w:top w:val="single" w:color="000000" w:sz="4" w:space="0"/>
              <w:left w:val="single" w:color="000000" w:sz="4" w:space="0"/>
              <w:bottom w:val="single" w:color="000000" w:sz="4" w:space="0"/>
              <w:right w:val="single" w:color="000000" w:sz="4" w:space="0"/>
            </w:tcBorders>
            <w:vAlign w:val="center"/>
          </w:tcPr>
          <w:p w14:paraId="2D872C5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7187D5C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2.82 </w:t>
            </w:r>
          </w:p>
        </w:tc>
        <w:tc>
          <w:tcPr>
            <w:tcW w:w="1020" w:type="dxa"/>
            <w:tcBorders>
              <w:top w:val="single" w:color="000000" w:sz="4" w:space="0"/>
              <w:left w:val="single" w:color="000000" w:sz="4" w:space="0"/>
              <w:bottom w:val="single" w:color="000000" w:sz="4" w:space="0"/>
              <w:right w:val="single" w:color="000000" w:sz="4" w:space="0"/>
            </w:tcBorders>
            <w:vAlign w:val="center"/>
          </w:tcPr>
          <w:p w14:paraId="4E7951D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4702B3A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4D50105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76F5047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38CF27C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76D95C9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5FED04E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577180B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5F95E87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1" w:type="dxa"/>
            <w:tcBorders>
              <w:top w:val="single" w:color="000000" w:sz="4" w:space="0"/>
              <w:left w:val="single" w:color="000000" w:sz="4" w:space="0"/>
              <w:bottom w:val="single" w:color="000000" w:sz="4" w:space="0"/>
              <w:right w:val="single" w:color="000000" w:sz="4" w:space="0"/>
            </w:tcBorders>
            <w:vAlign w:val="center"/>
          </w:tcPr>
          <w:p w14:paraId="1F8902B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1" w:type="dxa"/>
            <w:tcBorders>
              <w:top w:val="single" w:color="000000" w:sz="4" w:space="0"/>
              <w:left w:val="single" w:color="000000" w:sz="4" w:space="0"/>
              <w:bottom w:val="single" w:color="000000" w:sz="4" w:space="0"/>
              <w:right w:val="single" w:color="000000" w:sz="4" w:space="0"/>
            </w:tcBorders>
            <w:vAlign w:val="center"/>
          </w:tcPr>
          <w:p w14:paraId="5EFEA13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2.82 </w:t>
            </w:r>
          </w:p>
        </w:tc>
      </w:tr>
      <w:tr w14:paraId="575EB6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7068150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3、企业所得税</w:t>
            </w:r>
          </w:p>
        </w:tc>
        <w:tc>
          <w:tcPr>
            <w:tcW w:w="1110" w:type="dxa"/>
            <w:tcBorders>
              <w:top w:val="single" w:color="000000" w:sz="4" w:space="0"/>
              <w:left w:val="single" w:color="000000" w:sz="4" w:space="0"/>
              <w:bottom w:val="single" w:color="000000" w:sz="4" w:space="0"/>
              <w:right w:val="single" w:color="000000" w:sz="4" w:space="0"/>
            </w:tcBorders>
            <w:vAlign w:val="center"/>
          </w:tcPr>
          <w:p w14:paraId="4C5ED14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060A442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1,887.40 </w:t>
            </w:r>
          </w:p>
        </w:tc>
        <w:tc>
          <w:tcPr>
            <w:tcW w:w="1020" w:type="dxa"/>
            <w:tcBorders>
              <w:top w:val="single" w:color="000000" w:sz="4" w:space="0"/>
              <w:left w:val="single" w:color="000000" w:sz="4" w:space="0"/>
              <w:bottom w:val="single" w:color="000000" w:sz="4" w:space="0"/>
              <w:right w:val="single" w:color="000000" w:sz="4" w:space="0"/>
            </w:tcBorders>
            <w:vAlign w:val="center"/>
          </w:tcPr>
          <w:p w14:paraId="35EA4F9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5D70186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4E5D4AB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148.08 </w:t>
            </w:r>
          </w:p>
        </w:tc>
        <w:tc>
          <w:tcPr>
            <w:tcW w:w="931" w:type="dxa"/>
            <w:tcBorders>
              <w:top w:val="single" w:color="000000" w:sz="4" w:space="0"/>
              <w:left w:val="single" w:color="000000" w:sz="4" w:space="0"/>
              <w:bottom w:val="single" w:color="000000" w:sz="4" w:space="0"/>
              <w:right w:val="single" w:color="000000" w:sz="4" w:space="0"/>
            </w:tcBorders>
            <w:vAlign w:val="center"/>
          </w:tcPr>
          <w:p w14:paraId="32B50BD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153.69 </w:t>
            </w:r>
          </w:p>
        </w:tc>
        <w:tc>
          <w:tcPr>
            <w:tcW w:w="931" w:type="dxa"/>
            <w:tcBorders>
              <w:top w:val="single" w:color="000000" w:sz="4" w:space="0"/>
              <w:left w:val="single" w:color="000000" w:sz="4" w:space="0"/>
              <w:bottom w:val="single" w:color="000000" w:sz="4" w:space="0"/>
              <w:right w:val="single" w:color="000000" w:sz="4" w:space="0"/>
            </w:tcBorders>
            <w:vAlign w:val="center"/>
          </w:tcPr>
          <w:p w14:paraId="1BE7CAF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184.36 </w:t>
            </w:r>
          </w:p>
        </w:tc>
        <w:tc>
          <w:tcPr>
            <w:tcW w:w="931" w:type="dxa"/>
            <w:tcBorders>
              <w:top w:val="single" w:color="000000" w:sz="4" w:space="0"/>
              <w:left w:val="single" w:color="000000" w:sz="4" w:space="0"/>
              <w:bottom w:val="single" w:color="000000" w:sz="4" w:space="0"/>
              <w:right w:val="single" w:color="000000" w:sz="4" w:space="0"/>
            </w:tcBorders>
            <w:vAlign w:val="center"/>
          </w:tcPr>
          <w:p w14:paraId="109E78D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190.36 </w:t>
            </w:r>
          </w:p>
        </w:tc>
        <w:tc>
          <w:tcPr>
            <w:tcW w:w="931" w:type="dxa"/>
            <w:tcBorders>
              <w:top w:val="single" w:color="000000" w:sz="4" w:space="0"/>
              <w:left w:val="single" w:color="000000" w:sz="4" w:space="0"/>
              <w:bottom w:val="single" w:color="000000" w:sz="4" w:space="0"/>
              <w:right w:val="single" w:color="000000" w:sz="4" w:space="0"/>
            </w:tcBorders>
            <w:vAlign w:val="center"/>
          </w:tcPr>
          <w:p w14:paraId="5E1F954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191.43 </w:t>
            </w:r>
          </w:p>
        </w:tc>
        <w:tc>
          <w:tcPr>
            <w:tcW w:w="1020" w:type="dxa"/>
            <w:tcBorders>
              <w:top w:val="single" w:color="000000" w:sz="4" w:space="0"/>
              <w:left w:val="single" w:color="000000" w:sz="4" w:space="0"/>
              <w:bottom w:val="single" w:color="000000" w:sz="4" w:space="0"/>
              <w:right w:val="single" w:color="000000" w:sz="4" w:space="0"/>
            </w:tcBorders>
            <w:vAlign w:val="center"/>
          </w:tcPr>
          <w:p w14:paraId="3B1DCF6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224.73 </w:t>
            </w:r>
          </w:p>
        </w:tc>
        <w:tc>
          <w:tcPr>
            <w:tcW w:w="1020" w:type="dxa"/>
            <w:tcBorders>
              <w:top w:val="single" w:color="000000" w:sz="4" w:space="0"/>
              <w:left w:val="single" w:color="000000" w:sz="4" w:space="0"/>
              <w:bottom w:val="single" w:color="000000" w:sz="4" w:space="0"/>
              <w:right w:val="single" w:color="000000" w:sz="4" w:space="0"/>
            </w:tcBorders>
            <w:vAlign w:val="center"/>
          </w:tcPr>
          <w:p w14:paraId="39E2333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231.23 </w:t>
            </w:r>
          </w:p>
        </w:tc>
        <w:tc>
          <w:tcPr>
            <w:tcW w:w="1021" w:type="dxa"/>
            <w:tcBorders>
              <w:top w:val="single" w:color="000000" w:sz="4" w:space="0"/>
              <w:left w:val="single" w:color="000000" w:sz="4" w:space="0"/>
              <w:bottom w:val="single" w:color="000000" w:sz="4" w:space="0"/>
              <w:right w:val="single" w:color="000000" w:sz="4" w:space="0"/>
            </w:tcBorders>
            <w:vAlign w:val="center"/>
          </w:tcPr>
          <w:p w14:paraId="3CBE70F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237.79 </w:t>
            </w:r>
          </w:p>
        </w:tc>
        <w:tc>
          <w:tcPr>
            <w:tcW w:w="1021" w:type="dxa"/>
            <w:tcBorders>
              <w:top w:val="single" w:color="000000" w:sz="4" w:space="0"/>
              <w:left w:val="single" w:color="000000" w:sz="4" w:space="0"/>
              <w:bottom w:val="single" w:color="000000" w:sz="4" w:space="0"/>
              <w:right w:val="single" w:color="000000" w:sz="4" w:space="0"/>
            </w:tcBorders>
            <w:vAlign w:val="center"/>
          </w:tcPr>
          <w:p w14:paraId="63DF1A4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325.74 </w:t>
            </w:r>
          </w:p>
        </w:tc>
      </w:tr>
      <w:tr w14:paraId="4EC0D2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54B0399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投资活动产生的现金净流量</w:t>
            </w:r>
          </w:p>
        </w:tc>
        <w:tc>
          <w:tcPr>
            <w:tcW w:w="1110" w:type="dxa"/>
            <w:tcBorders>
              <w:top w:val="single" w:color="000000" w:sz="4" w:space="0"/>
              <w:left w:val="single" w:color="000000" w:sz="4" w:space="0"/>
              <w:bottom w:val="single" w:color="000000" w:sz="4" w:space="0"/>
              <w:right w:val="single" w:color="000000" w:sz="4" w:space="0"/>
            </w:tcBorders>
            <w:vAlign w:val="center"/>
          </w:tcPr>
          <w:p w14:paraId="4FC6FE6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-19,358.00 </w:t>
            </w:r>
          </w:p>
        </w:tc>
        <w:tc>
          <w:tcPr>
            <w:tcW w:w="1110" w:type="dxa"/>
            <w:tcBorders>
              <w:top w:val="single" w:color="000000" w:sz="4" w:space="0"/>
              <w:left w:val="single" w:color="000000" w:sz="4" w:space="0"/>
              <w:bottom w:val="single" w:color="000000" w:sz="4" w:space="0"/>
              <w:right w:val="single" w:color="000000" w:sz="4" w:space="0"/>
            </w:tcBorders>
            <w:vAlign w:val="center"/>
          </w:tcPr>
          <w:p w14:paraId="16755DC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6A83EAF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-9,784.00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195F939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-9,574.00 </w:t>
            </w:r>
          </w:p>
        </w:tc>
        <w:tc>
          <w:tcPr>
            <w:tcW w:w="931" w:type="dxa"/>
            <w:tcBorders>
              <w:top w:val="single" w:color="000000" w:sz="4" w:space="0"/>
              <w:left w:val="single" w:color="000000" w:sz="4" w:space="0"/>
              <w:bottom w:val="single" w:color="000000" w:sz="4" w:space="0"/>
              <w:right w:val="single" w:color="000000" w:sz="4" w:space="0"/>
            </w:tcBorders>
            <w:vAlign w:val="center"/>
          </w:tcPr>
          <w:p w14:paraId="3A36249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594F660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36FC5AE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22067DE7">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tcBorders>
              <w:top w:val="single" w:color="000000" w:sz="4" w:space="0"/>
              <w:left w:val="single" w:color="000000" w:sz="4" w:space="0"/>
              <w:bottom w:val="single" w:color="000000" w:sz="4" w:space="0"/>
              <w:right w:val="single" w:color="000000" w:sz="4" w:space="0"/>
            </w:tcBorders>
            <w:vAlign w:val="center"/>
          </w:tcPr>
          <w:p w14:paraId="5F2060F2">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24A017ED">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2932D416">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218B1DAC">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71480F28">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r>
      <w:tr w14:paraId="53D9033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0B31A7B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一、投资活动产生的现金流入</w:t>
            </w:r>
          </w:p>
        </w:tc>
        <w:tc>
          <w:tcPr>
            <w:tcW w:w="1110" w:type="dxa"/>
            <w:tcBorders>
              <w:top w:val="single" w:color="000000" w:sz="4" w:space="0"/>
              <w:left w:val="single" w:color="000000" w:sz="4" w:space="0"/>
              <w:bottom w:val="single" w:color="000000" w:sz="4" w:space="0"/>
              <w:right w:val="single" w:color="000000" w:sz="4" w:space="0"/>
            </w:tcBorders>
            <w:vAlign w:val="center"/>
          </w:tcPr>
          <w:p w14:paraId="7890B42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002EF13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75AD8F59">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0648ADAF">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tcBorders>
              <w:top w:val="single" w:color="000000" w:sz="4" w:space="0"/>
              <w:left w:val="single" w:color="000000" w:sz="4" w:space="0"/>
              <w:bottom w:val="single" w:color="000000" w:sz="4" w:space="0"/>
              <w:right w:val="single" w:color="000000" w:sz="4" w:space="0"/>
            </w:tcBorders>
            <w:vAlign w:val="center"/>
          </w:tcPr>
          <w:p w14:paraId="23C3809B">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tcBorders>
              <w:top w:val="single" w:color="000000" w:sz="4" w:space="0"/>
              <w:left w:val="single" w:color="000000" w:sz="4" w:space="0"/>
              <w:bottom w:val="single" w:color="000000" w:sz="4" w:space="0"/>
              <w:right w:val="single" w:color="000000" w:sz="4" w:space="0"/>
            </w:tcBorders>
            <w:vAlign w:val="center"/>
          </w:tcPr>
          <w:p w14:paraId="7A015FE1">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tcBorders>
              <w:top w:val="single" w:color="000000" w:sz="4" w:space="0"/>
              <w:left w:val="single" w:color="000000" w:sz="4" w:space="0"/>
              <w:bottom w:val="single" w:color="000000" w:sz="4" w:space="0"/>
              <w:right w:val="single" w:color="000000" w:sz="4" w:space="0"/>
            </w:tcBorders>
            <w:vAlign w:val="center"/>
          </w:tcPr>
          <w:p w14:paraId="1998C1E4">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tcBorders>
              <w:top w:val="single" w:color="000000" w:sz="4" w:space="0"/>
              <w:left w:val="single" w:color="000000" w:sz="4" w:space="0"/>
              <w:bottom w:val="single" w:color="000000" w:sz="4" w:space="0"/>
              <w:right w:val="single" w:color="000000" w:sz="4" w:space="0"/>
            </w:tcBorders>
            <w:vAlign w:val="center"/>
          </w:tcPr>
          <w:p w14:paraId="2E783616">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tcBorders>
              <w:top w:val="single" w:color="000000" w:sz="4" w:space="0"/>
              <w:left w:val="single" w:color="000000" w:sz="4" w:space="0"/>
              <w:bottom w:val="single" w:color="000000" w:sz="4" w:space="0"/>
              <w:right w:val="single" w:color="000000" w:sz="4" w:space="0"/>
            </w:tcBorders>
            <w:vAlign w:val="center"/>
          </w:tcPr>
          <w:p w14:paraId="695F5BD4">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73491FCD">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14093059">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1F8196AD">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03FDD4E8">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r>
      <w:tr w14:paraId="0D38CA6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4D4D263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二、投资活动产生的现金流出</w:t>
            </w:r>
          </w:p>
        </w:tc>
        <w:tc>
          <w:tcPr>
            <w:tcW w:w="1110" w:type="dxa"/>
            <w:tcBorders>
              <w:top w:val="single" w:color="000000" w:sz="4" w:space="0"/>
              <w:left w:val="single" w:color="000000" w:sz="4" w:space="0"/>
              <w:bottom w:val="single" w:color="000000" w:sz="4" w:space="0"/>
              <w:right w:val="single" w:color="000000" w:sz="4" w:space="0"/>
            </w:tcBorders>
            <w:vAlign w:val="center"/>
          </w:tcPr>
          <w:p w14:paraId="0BBD38B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19,358.00 </w:t>
            </w:r>
          </w:p>
        </w:tc>
        <w:tc>
          <w:tcPr>
            <w:tcW w:w="1110" w:type="dxa"/>
            <w:tcBorders>
              <w:top w:val="single" w:color="000000" w:sz="4" w:space="0"/>
              <w:left w:val="single" w:color="000000" w:sz="4" w:space="0"/>
              <w:bottom w:val="single" w:color="000000" w:sz="4" w:space="0"/>
              <w:right w:val="single" w:color="000000" w:sz="4" w:space="0"/>
            </w:tcBorders>
            <w:vAlign w:val="center"/>
          </w:tcPr>
          <w:p w14:paraId="64A5BB6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250596F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9,784.00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0902832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9,574.00 </w:t>
            </w:r>
          </w:p>
        </w:tc>
        <w:tc>
          <w:tcPr>
            <w:tcW w:w="931" w:type="dxa"/>
            <w:tcBorders>
              <w:top w:val="single" w:color="000000" w:sz="4" w:space="0"/>
              <w:left w:val="single" w:color="000000" w:sz="4" w:space="0"/>
              <w:bottom w:val="single" w:color="000000" w:sz="4" w:space="0"/>
              <w:right w:val="single" w:color="000000" w:sz="4" w:space="0"/>
            </w:tcBorders>
            <w:vAlign w:val="center"/>
          </w:tcPr>
          <w:p w14:paraId="31D2011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1AC390B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117E804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2218B379">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tcBorders>
              <w:top w:val="single" w:color="000000" w:sz="4" w:space="0"/>
              <w:left w:val="single" w:color="000000" w:sz="4" w:space="0"/>
              <w:bottom w:val="single" w:color="000000" w:sz="4" w:space="0"/>
              <w:right w:val="single" w:color="000000" w:sz="4" w:space="0"/>
            </w:tcBorders>
            <w:vAlign w:val="center"/>
          </w:tcPr>
          <w:p w14:paraId="3C3C48B6">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2FAA6918">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6DD7942A">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50F1350B">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2E0A7BB3">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r>
      <w:tr w14:paraId="16B2F92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5AC7BBF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（一）建设投资</w:t>
            </w:r>
          </w:p>
        </w:tc>
        <w:tc>
          <w:tcPr>
            <w:tcW w:w="1110" w:type="dxa"/>
            <w:tcBorders>
              <w:top w:val="single" w:color="000000" w:sz="4" w:space="0"/>
              <w:left w:val="single" w:color="000000" w:sz="4" w:space="0"/>
              <w:bottom w:val="single" w:color="000000" w:sz="4" w:space="0"/>
              <w:right w:val="single" w:color="000000" w:sz="4" w:space="0"/>
            </w:tcBorders>
            <w:vAlign w:val="center"/>
          </w:tcPr>
          <w:p w14:paraId="60D41AD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19,358.00 </w:t>
            </w:r>
          </w:p>
        </w:tc>
        <w:tc>
          <w:tcPr>
            <w:tcW w:w="1110" w:type="dxa"/>
            <w:tcBorders>
              <w:top w:val="single" w:color="000000" w:sz="4" w:space="0"/>
              <w:left w:val="single" w:color="000000" w:sz="4" w:space="0"/>
              <w:bottom w:val="single" w:color="000000" w:sz="4" w:space="0"/>
              <w:right w:val="single" w:color="000000" w:sz="4" w:space="0"/>
            </w:tcBorders>
            <w:vAlign w:val="center"/>
          </w:tcPr>
          <w:p w14:paraId="6DC139C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0E7E9F7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9,784.00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1729CC3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9,574.00 </w:t>
            </w:r>
          </w:p>
        </w:tc>
        <w:tc>
          <w:tcPr>
            <w:tcW w:w="931" w:type="dxa"/>
            <w:tcBorders>
              <w:top w:val="single" w:color="000000" w:sz="4" w:space="0"/>
              <w:left w:val="single" w:color="000000" w:sz="4" w:space="0"/>
              <w:bottom w:val="single" w:color="000000" w:sz="4" w:space="0"/>
              <w:right w:val="single" w:color="000000" w:sz="4" w:space="0"/>
            </w:tcBorders>
            <w:vAlign w:val="center"/>
          </w:tcPr>
          <w:p w14:paraId="706CDF7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74958BA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64DCC6B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74AB80FC">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tcBorders>
              <w:top w:val="single" w:color="000000" w:sz="4" w:space="0"/>
              <w:left w:val="single" w:color="000000" w:sz="4" w:space="0"/>
              <w:bottom w:val="single" w:color="000000" w:sz="4" w:space="0"/>
              <w:right w:val="single" w:color="000000" w:sz="4" w:space="0"/>
            </w:tcBorders>
            <w:vAlign w:val="center"/>
          </w:tcPr>
          <w:p w14:paraId="57219CA5">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1B43348E">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20B1A07F">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7B6D912D">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540BB67F">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r>
      <w:tr w14:paraId="4B97FF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47383CC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（二）流动资金</w:t>
            </w:r>
          </w:p>
        </w:tc>
        <w:tc>
          <w:tcPr>
            <w:tcW w:w="1110" w:type="dxa"/>
            <w:tcBorders>
              <w:top w:val="single" w:color="000000" w:sz="4" w:space="0"/>
              <w:left w:val="single" w:color="000000" w:sz="4" w:space="0"/>
              <w:bottom w:val="single" w:color="000000" w:sz="4" w:space="0"/>
              <w:right w:val="single" w:color="000000" w:sz="4" w:space="0"/>
            </w:tcBorders>
            <w:vAlign w:val="center"/>
          </w:tcPr>
          <w:p w14:paraId="281B8FA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52D574F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00940AC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334732A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730CBAD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132C504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6D61C13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3A9538BF">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tcBorders>
              <w:top w:val="single" w:color="000000" w:sz="4" w:space="0"/>
              <w:left w:val="single" w:color="000000" w:sz="4" w:space="0"/>
              <w:bottom w:val="single" w:color="000000" w:sz="4" w:space="0"/>
              <w:right w:val="single" w:color="000000" w:sz="4" w:space="0"/>
            </w:tcBorders>
            <w:vAlign w:val="center"/>
          </w:tcPr>
          <w:p w14:paraId="73B14569">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65304F4A">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65F4DD9B">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49D5E4C8">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2C98F926">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r>
      <w:tr w14:paraId="3F19D5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7F9A760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融资活动产生的现金净流量</w:t>
            </w:r>
          </w:p>
        </w:tc>
        <w:tc>
          <w:tcPr>
            <w:tcW w:w="1110" w:type="dxa"/>
            <w:tcBorders>
              <w:top w:val="single" w:color="000000" w:sz="4" w:space="0"/>
              <w:left w:val="single" w:color="000000" w:sz="4" w:space="0"/>
              <w:bottom w:val="single" w:color="000000" w:sz="4" w:space="0"/>
              <w:right w:val="single" w:color="000000" w:sz="4" w:space="0"/>
            </w:tcBorders>
            <w:vAlign w:val="center"/>
          </w:tcPr>
          <w:p w14:paraId="4E81CD6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19,358.00 </w:t>
            </w:r>
          </w:p>
        </w:tc>
        <w:tc>
          <w:tcPr>
            <w:tcW w:w="1110" w:type="dxa"/>
            <w:tcBorders>
              <w:top w:val="single" w:color="000000" w:sz="4" w:space="0"/>
              <w:left w:val="single" w:color="000000" w:sz="4" w:space="0"/>
              <w:bottom w:val="single" w:color="000000" w:sz="4" w:space="0"/>
              <w:right w:val="single" w:color="000000" w:sz="4" w:space="0"/>
            </w:tcBorders>
            <w:vAlign w:val="center"/>
          </w:tcPr>
          <w:p w14:paraId="7C27CA6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-15,570.00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035C094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9,784.00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68FB363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9,574.00 </w:t>
            </w:r>
          </w:p>
        </w:tc>
        <w:tc>
          <w:tcPr>
            <w:tcW w:w="931" w:type="dxa"/>
            <w:tcBorders>
              <w:top w:val="single" w:color="000000" w:sz="4" w:space="0"/>
              <w:left w:val="single" w:color="000000" w:sz="4" w:space="0"/>
              <w:bottom w:val="single" w:color="000000" w:sz="4" w:space="0"/>
              <w:right w:val="single" w:color="000000" w:sz="4" w:space="0"/>
            </w:tcBorders>
            <w:vAlign w:val="center"/>
          </w:tcPr>
          <w:p w14:paraId="510A27E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3B62232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1499204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6A9F056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6479B50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164F121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0BF1985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1021" w:type="dxa"/>
            <w:tcBorders>
              <w:top w:val="single" w:color="000000" w:sz="4" w:space="0"/>
              <w:left w:val="single" w:color="000000" w:sz="4" w:space="0"/>
              <w:bottom w:val="single" w:color="000000" w:sz="4" w:space="0"/>
              <w:right w:val="single" w:color="000000" w:sz="4" w:space="0"/>
            </w:tcBorders>
            <w:vAlign w:val="center"/>
          </w:tcPr>
          <w:p w14:paraId="552C975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-6,420.00 </w:t>
            </w:r>
          </w:p>
        </w:tc>
        <w:tc>
          <w:tcPr>
            <w:tcW w:w="1021" w:type="dxa"/>
            <w:tcBorders>
              <w:top w:val="single" w:color="000000" w:sz="4" w:space="0"/>
              <w:left w:val="single" w:color="000000" w:sz="4" w:space="0"/>
              <w:bottom w:val="single" w:color="000000" w:sz="4" w:space="0"/>
              <w:right w:val="single" w:color="000000" w:sz="4" w:space="0"/>
            </w:tcBorders>
            <w:vAlign w:val="center"/>
          </w:tcPr>
          <w:p w14:paraId="18297AF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-6,210.00 </w:t>
            </w:r>
          </w:p>
        </w:tc>
      </w:tr>
      <w:tr w14:paraId="6A06FD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7C39867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一、融资活动产生的现金流入</w:t>
            </w:r>
          </w:p>
        </w:tc>
        <w:tc>
          <w:tcPr>
            <w:tcW w:w="1110" w:type="dxa"/>
            <w:tcBorders>
              <w:top w:val="single" w:color="000000" w:sz="4" w:space="0"/>
              <w:left w:val="single" w:color="000000" w:sz="4" w:space="0"/>
              <w:bottom w:val="single" w:color="000000" w:sz="4" w:space="0"/>
              <w:right w:val="single" w:color="000000" w:sz="4" w:space="0"/>
            </w:tcBorders>
            <w:vAlign w:val="center"/>
          </w:tcPr>
          <w:p w14:paraId="6048447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20,000.00 </w:t>
            </w:r>
          </w:p>
        </w:tc>
        <w:tc>
          <w:tcPr>
            <w:tcW w:w="1110" w:type="dxa"/>
            <w:tcBorders>
              <w:top w:val="single" w:color="000000" w:sz="4" w:space="0"/>
              <w:left w:val="single" w:color="000000" w:sz="4" w:space="0"/>
              <w:bottom w:val="single" w:color="000000" w:sz="4" w:space="0"/>
              <w:right w:val="single" w:color="000000" w:sz="4" w:space="0"/>
            </w:tcBorders>
            <w:vAlign w:val="center"/>
          </w:tcPr>
          <w:p w14:paraId="43F75E3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3BF4BF6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10,000.00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19D018C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10,000.00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602E2F3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68F9E6B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1481893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2287F097">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tcBorders>
              <w:top w:val="single" w:color="000000" w:sz="4" w:space="0"/>
              <w:left w:val="single" w:color="000000" w:sz="4" w:space="0"/>
              <w:bottom w:val="single" w:color="000000" w:sz="4" w:space="0"/>
              <w:right w:val="single" w:color="000000" w:sz="4" w:space="0"/>
            </w:tcBorders>
            <w:vAlign w:val="center"/>
          </w:tcPr>
          <w:p w14:paraId="049F30BC">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323E14FA">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54A8BE62">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62655D61">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4B676DC3">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r>
      <w:tr w14:paraId="1D3F8B4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584CFE3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（一）项目资本金流入</w:t>
            </w:r>
          </w:p>
        </w:tc>
        <w:tc>
          <w:tcPr>
            <w:tcW w:w="1110" w:type="dxa"/>
            <w:tcBorders>
              <w:top w:val="single" w:color="000000" w:sz="4" w:space="0"/>
              <w:left w:val="single" w:color="000000" w:sz="4" w:space="0"/>
              <w:bottom w:val="single" w:color="000000" w:sz="4" w:space="0"/>
              <w:right w:val="single" w:color="000000" w:sz="4" w:space="0"/>
            </w:tcBorders>
            <w:vAlign w:val="center"/>
          </w:tcPr>
          <w:p w14:paraId="06AF834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8,000.00 </w:t>
            </w:r>
          </w:p>
        </w:tc>
        <w:tc>
          <w:tcPr>
            <w:tcW w:w="1110" w:type="dxa"/>
            <w:tcBorders>
              <w:top w:val="single" w:color="000000" w:sz="4" w:space="0"/>
              <w:left w:val="single" w:color="000000" w:sz="4" w:space="0"/>
              <w:bottom w:val="single" w:color="000000" w:sz="4" w:space="0"/>
              <w:right w:val="single" w:color="000000" w:sz="4" w:space="0"/>
            </w:tcBorders>
            <w:vAlign w:val="center"/>
          </w:tcPr>
          <w:p w14:paraId="0C79F9B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44F17F8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4,000.00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612EE87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4,000.00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1F5ADEB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244EE4E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22933EF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3EC7ABBD">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tcBorders>
              <w:top w:val="single" w:color="000000" w:sz="4" w:space="0"/>
              <w:left w:val="single" w:color="000000" w:sz="4" w:space="0"/>
              <w:bottom w:val="single" w:color="000000" w:sz="4" w:space="0"/>
              <w:right w:val="single" w:color="000000" w:sz="4" w:space="0"/>
            </w:tcBorders>
            <w:vAlign w:val="center"/>
          </w:tcPr>
          <w:p w14:paraId="01639D45">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579206D4">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011999B1">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43D882A6">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019AC4A6">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r>
      <w:tr w14:paraId="4BA6F05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0BF7993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（二）发行债券融资流入</w:t>
            </w:r>
          </w:p>
        </w:tc>
        <w:tc>
          <w:tcPr>
            <w:tcW w:w="1110" w:type="dxa"/>
            <w:tcBorders>
              <w:top w:val="single" w:color="000000" w:sz="4" w:space="0"/>
              <w:left w:val="single" w:color="000000" w:sz="4" w:space="0"/>
              <w:bottom w:val="single" w:color="000000" w:sz="4" w:space="0"/>
              <w:right w:val="single" w:color="000000" w:sz="4" w:space="0"/>
            </w:tcBorders>
            <w:vAlign w:val="center"/>
          </w:tcPr>
          <w:p w14:paraId="4791127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12,000.00 </w:t>
            </w:r>
          </w:p>
        </w:tc>
        <w:tc>
          <w:tcPr>
            <w:tcW w:w="1110" w:type="dxa"/>
            <w:tcBorders>
              <w:top w:val="single" w:color="000000" w:sz="4" w:space="0"/>
              <w:left w:val="single" w:color="000000" w:sz="4" w:space="0"/>
              <w:bottom w:val="single" w:color="000000" w:sz="4" w:space="0"/>
              <w:right w:val="single" w:color="000000" w:sz="4" w:space="0"/>
            </w:tcBorders>
            <w:vAlign w:val="center"/>
          </w:tcPr>
          <w:p w14:paraId="1A212E0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1436828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6,000.00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7367A21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6,000.00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7B5C9A8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7458CCC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2E4CB0E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2F8AEF91">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tcBorders>
              <w:top w:val="single" w:color="000000" w:sz="4" w:space="0"/>
              <w:left w:val="single" w:color="000000" w:sz="4" w:space="0"/>
              <w:bottom w:val="single" w:color="000000" w:sz="4" w:space="0"/>
              <w:right w:val="single" w:color="000000" w:sz="4" w:space="0"/>
            </w:tcBorders>
            <w:vAlign w:val="center"/>
          </w:tcPr>
          <w:p w14:paraId="788F0469">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517287B7">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6EFBFC86">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56621CA5">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3F41DFFD">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r>
      <w:tr w14:paraId="25ACE8E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0E328B8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二、融资活动产生的现金流出</w:t>
            </w:r>
          </w:p>
        </w:tc>
        <w:tc>
          <w:tcPr>
            <w:tcW w:w="1110" w:type="dxa"/>
            <w:tcBorders>
              <w:top w:val="single" w:color="000000" w:sz="4" w:space="0"/>
              <w:left w:val="single" w:color="000000" w:sz="4" w:space="0"/>
              <w:bottom w:val="single" w:color="000000" w:sz="4" w:space="0"/>
              <w:right w:val="single" w:color="000000" w:sz="4" w:space="0"/>
            </w:tcBorders>
            <w:vAlign w:val="center"/>
          </w:tcPr>
          <w:p w14:paraId="1A944D8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642.00 </w:t>
            </w:r>
          </w:p>
        </w:tc>
        <w:tc>
          <w:tcPr>
            <w:tcW w:w="1110" w:type="dxa"/>
            <w:tcBorders>
              <w:top w:val="single" w:color="000000" w:sz="4" w:space="0"/>
              <w:left w:val="single" w:color="000000" w:sz="4" w:space="0"/>
              <w:bottom w:val="single" w:color="000000" w:sz="4" w:space="0"/>
              <w:right w:val="single" w:color="000000" w:sz="4" w:space="0"/>
            </w:tcBorders>
            <w:vAlign w:val="center"/>
          </w:tcPr>
          <w:p w14:paraId="29A2611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15,570.00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5F4173C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216.00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18EA28A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426.00 </w:t>
            </w:r>
          </w:p>
        </w:tc>
        <w:tc>
          <w:tcPr>
            <w:tcW w:w="931" w:type="dxa"/>
            <w:tcBorders>
              <w:top w:val="single" w:color="000000" w:sz="4" w:space="0"/>
              <w:left w:val="single" w:color="000000" w:sz="4" w:space="0"/>
              <w:bottom w:val="single" w:color="000000" w:sz="4" w:space="0"/>
              <w:right w:val="single" w:color="000000" w:sz="4" w:space="0"/>
            </w:tcBorders>
            <w:vAlign w:val="center"/>
          </w:tcPr>
          <w:p w14:paraId="7AB2136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45A2E10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2D7A223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0B0E102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580D29E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5C3A198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79747C4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1021" w:type="dxa"/>
            <w:tcBorders>
              <w:top w:val="single" w:color="000000" w:sz="4" w:space="0"/>
              <w:left w:val="single" w:color="000000" w:sz="4" w:space="0"/>
              <w:bottom w:val="single" w:color="000000" w:sz="4" w:space="0"/>
              <w:right w:val="single" w:color="000000" w:sz="4" w:space="0"/>
            </w:tcBorders>
            <w:vAlign w:val="center"/>
          </w:tcPr>
          <w:p w14:paraId="534165AA">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6,420.00 </w:t>
            </w:r>
          </w:p>
        </w:tc>
        <w:tc>
          <w:tcPr>
            <w:tcW w:w="1021" w:type="dxa"/>
            <w:tcBorders>
              <w:top w:val="single" w:color="000000" w:sz="4" w:space="0"/>
              <w:left w:val="single" w:color="000000" w:sz="4" w:space="0"/>
              <w:bottom w:val="single" w:color="000000" w:sz="4" w:space="0"/>
              <w:right w:val="single" w:color="000000" w:sz="4" w:space="0"/>
            </w:tcBorders>
            <w:vAlign w:val="center"/>
          </w:tcPr>
          <w:p w14:paraId="2CC2D52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6,210.00 </w:t>
            </w:r>
          </w:p>
        </w:tc>
      </w:tr>
      <w:tr w14:paraId="6FE1D9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5F7A410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（一）偿还专项债券本金</w:t>
            </w:r>
          </w:p>
        </w:tc>
        <w:tc>
          <w:tcPr>
            <w:tcW w:w="1110" w:type="dxa"/>
            <w:tcBorders>
              <w:top w:val="single" w:color="000000" w:sz="4" w:space="0"/>
              <w:left w:val="single" w:color="000000" w:sz="4" w:space="0"/>
              <w:bottom w:val="single" w:color="000000" w:sz="4" w:space="0"/>
              <w:right w:val="single" w:color="000000" w:sz="4" w:space="0"/>
            </w:tcBorders>
            <w:vAlign w:val="center"/>
          </w:tcPr>
          <w:p w14:paraId="690D822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15A119E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12,000.00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6B53D5A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60F7C7B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30E3B36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6242FFD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515AF1A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38DCF23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76DD6F7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612F5A9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1269E8B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1" w:type="dxa"/>
            <w:tcBorders>
              <w:top w:val="single" w:color="000000" w:sz="4" w:space="0"/>
              <w:left w:val="single" w:color="000000" w:sz="4" w:space="0"/>
              <w:bottom w:val="single" w:color="000000" w:sz="4" w:space="0"/>
              <w:right w:val="single" w:color="000000" w:sz="4" w:space="0"/>
            </w:tcBorders>
            <w:vAlign w:val="center"/>
          </w:tcPr>
          <w:p w14:paraId="3D223E2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6,000.00 </w:t>
            </w:r>
          </w:p>
        </w:tc>
        <w:tc>
          <w:tcPr>
            <w:tcW w:w="1021" w:type="dxa"/>
            <w:tcBorders>
              <w:top w:val="single" w:color="000000" w:sz="4" w:space="0"/>
              <w:left w:val="single" w:color="000000" w:sz="4" w:space="0"/>
              <w:bottom w:val="single" w:color="000000" w:sz="4" w:space="0"/>
              <w:right w:val="single" w:color="000000" w:sz="4" w:space="0"/>
            </w:tcBorders>
            <w:vAlign w:val="center"/>
          </w:tcPr>
          <w:p w14:paraId="3A7769C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6,000.00 </w:t>
            </w:r>
          </w:p>
        </w:tc>
      </w:tr>
      <w:tr w14:paraId="4AFF5E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7948708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（二）支付专项债券利息</w:t>
            </w:r>
          </w:p>
        </w:tc>
        <w:tc>
          <w:tcPr>
            <w:tcW w:w="1110" w:type="dxa"/>
            <w:tcBorders>
              <w:top w:val="single" w:color="000000" w:sz="4" w:space="0"/>
              <w:left w:val="single" w:color="000000" w:sz="4" w:space="0"/>
              <w:bottom w:val="single" w:color="000000" w:sz="4" w:space="0"/>
              <w:right w:val="single" w:color="000000" w:sz="4" w:space="0"/>
            </w:tcBorders>
            <w:vAlign w:val="center"/>
          </w:tcPr>
          <w:p w14:paraId="171E407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630.00 </w:t>
            </w:r>
          </w:p>
        </w:tc>
        <w:tc>
          <w:tcPr>
            <w:tcW w:w="1110" w:type="dxa"/>
            <w:tcBorders>
              <w:top w:val="single" w:color="000000" w:sz="4" w:space="0"/>
              <w:left w:val="single" w:color="000000" w:sz="4" w:space="0"/>
              <w:bottom w:val="single" w:color="000000" w:sz="4" w:space="0"/>
              <w:right w:val="single" w:color="000000" w:sz="4" w:space="0"/>
            </w:tcBorders>
            <w:vAlign w:val="center"/>
          </w:tcPr>
          <w:p w14:paraId="56CEAFD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3,570.00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52DAB86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210.00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76568A5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5DAF356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3A03C9B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3442079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1AC1D5D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931" w:type="dxa"/>
            <w:tcBorders>
              <w:top w:val="single" w:color="000000" w:sz="4" w:space="0"/>
              <w:left w:val="single" w:color="000000" w:sz="4" w:space="0"/>
              <w:bottom w:val="single" w:color="000000" w:sz="4" w:space="0"/>
              <w:right w:val="single" w:color="000000" w:sz="4" w:space="0"/>
            </w:tcBorders>
            <w:vAlign w:val="center"/>
          </w:tcPr>
          <w:p w14:paraId="55B18CC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1207B4B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4C839A3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1021" w:type="dxa"/>
            <w:tcBorders>
              <w:top w:val="single" w:color="000000" w:sz="4" w:space="0"/>
              <w:left w:val="single" w:color="000000" w:sz="4" w:space="0"/>
              <w:bottom w:val="single" w:color="000000" w:sz="4" w:space="0"/>
              <w:right w:val="single" w:color="000000" w:sz="4" w:space="0"/>
            </w:tcBorders>
            <w:vAlign w:val="center"/>
          </w:tcPr>
          <w:p w14:paraId="69CFEE6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420.00 </w:t>
            </w:r>
          </w:p>
        </w:tc>
        <w:tc>
          <w:tcPr>
            <w:tcW w:w="1021" w:type="dxa"/>
            <w:tcBorders>
              <w:top w:val="single" w:color="000000" w:sz="4" w:space="0"/>
              <w:left w:val="single" w:color="000000" w:sz="4" w:space="0"/>
              <w:bottom w:val="single" w:color="000000" w:sz="4" w:space="0"/>
              <w:right w:val="single" w:color="000000" w:sz="4" w:space="0"/>
            </w:tcBorders>
            <w:vAlign w:val="center"/>
          </w:tcPr>
          <w:p w14:paraId="7D93C2A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210.00 </w:t>
            </w:r>
          </w:p>
        </w:tc>
      </w:tr>
      <w:tr w14:paraId="1C44F0E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2AB1068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（三）支付专项债券发行费</w:t>
            </w:r>
          </w:p>
        </w:tc>
        <w:tc>
          <w:tcPr>
            <w:tcW w:w="1110" w:type="dxa"/>
            <w:tcBorders>
              <w:top w:val="single" w:color="000000" w:sz="4" w:space="0"/>
              <w:left w:val="single" w:color="000000" w:sz="4" w:space="0"/>
              <w:bottom w:val="single" w:color="000000" w:sz="4" w:space="0"/>
              <w:right w:val="single" w:color="000000" w:sz="4" w:space="0"/>
            </w:tcBorders>
            <w:vAlign w:val="center"/>
          </w:tcPr>
          <w:p w14:paraId="136A4F0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12.00 </w:t>
            </w:r>
          </w:p>
        </w:tc>
        <w:tc>
          <w:tcPr>
            <w:tcW w:w="1110" w:type="dxa"/>
            <w:tcBorders>
              <w:top w:val="single" w:color="000000" w:sz="4" w:space="0"/>
              <w:left w:val="single" w:color="000000" w:sz="4" w:space="0"/>
              <w:bottom w:val="single" w:color="000000" w:sz="4" w:space="0"/>
              <w:right w:val="single" w:color="000000" w:sz="4" w:space="0"/>
            </w:tcBorders>
            <w:vAlign w:val="center"/>
          </w:tcPr>
          <w:p w14:paraId="3416F4A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513E1BD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6.00 </w:t>
            </w:r>
          </w:p>
        </w:tc>
        <w:tc>
          <w:tcPr>
            <w:tcW w:w="1020" w:type="dxa"/>
            <w:tcBorders>
              <w:top w:val="single" w:color="000000" w:sz="4" w:space="0"/>
              <w:left w:val="single" w:color="000000" w:sz="4" w:space="0"/>
              <w:bottom w:val="single" w:color="000000" w:sz="4" w:space="0"/>
              <w:right w:val="single" w:color="000000" w:sz="4" w:space="0"/>
            </w:tcBorders>
            <w:vAlign w:val="center"/>
          </w:tcPr>
          <w:p w14:paraId="1FC0B2D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6.00 </w:t>
            </w:r>
          </w:p>
        </w:tc>
        <w:tc>
          <w:tcPr>
            <w:tcW w:w="931" w:type="dxa"/>
            <w:tcBorders>
              <w:top w:val="single" w:color="000000" w:sz="4" w:space="0"/>
              <w:left w:val="single" w:color="000000" w:sz="4" w:space="0"/>
              <w:bottom w:val="single" w:color="000000" w:sz="4" w:space="0"/>
              <w:right w:val="single" w:color="000000" w:sz="4" w:space="0"/>
            </w:tcBorders>
            <w:vAlign w:val="center"/>
          </w:tcPr>
          <w:p w14:paraId="19F8554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706DD52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7720172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3C6E243B">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931" w:type="dxa"/>
            <w:tcBorders>
              <w:top w:val="single" w:color="000000" w:sz="4" w:space="0"/>
              <w:left w:val="single" w:color="000000" w:sz="4" w:space="0"/>
              <w:bottom w:val="single" w:color="000000" w:sz="4" w:space="0"/>
              <w:right w:val="single" w:color="000000" w:sz="4" w:space="0"/>
            </w:tcBorders>
            <w:vAlign w:val="center"/>
          </w:tcPr>
          <w:p w14:paraId="41E04304">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17C0E069">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0" w:type="dxa"/>
            <w:tcBorders>
              <w:top w:val="single" w:color="000000" w:sz="4" w:space="0"/>
              <w:left w:val="single" w:color="000000" w:sz="4" w:space="0"/>
              <w:bottom w:val="single" w:color="000000" w:sz="4" w:space="0"/>
              <w:right w:val="single" w:color="000000" w:sz="4" w:space="0"/>
            </w:tcBorders>
            <w:vAlign w:val="center"/>
          </w:tcPr>
          <w:p w14:paraId="41FE06D1">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00BB98B4">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0A1F80D0">
            <w:pPr>
              <w:keepNext w:val="0"/>
              <w:keepLines w:val="0"/>
              <w:pageBreakBefore w:val="0"/>
              <w:suppressLineNumbers w:val="0"/>
              <w:kinsoku/>
              <w:wordWrap/>
              <w:overflowPunct/>
              <w:topLinePunct w:val="0"/>
              <w:autoSpaceDE/>
              <w:autoSpaceDN/>
              <w:bidi w:val="0"/>
              <w:spacing w:before="0" w:beforeAutospacing="0" w:after="0" w:afterAutospacing="0" w:line="360" w:lineRule="auto"/>
              <w:ind w:left="0" w:right="0"/>
              <w:jc w:val="center"/>
              <w:rPr>
                <w:rFonts w:hint="eastAsia" w:ascii="仿宋" w:hAnsi="仿宋" w:eastAsia="仿宋" w:cs="仿宋"/>
                <w:i w:val="0"/>
                <w:iCs w:val="0"/>
                <w:color w:val="000000"/>
                <w:sz w:val="18"/>
                <w:szCs w:val="18"/>
                <w:u w:val="none"/>
              </w:rPr>
            </w:pPr>
          </w:p>
        </w:tc>
      </w:tr>
      <w:tr w14:paraId="2EAE765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45085EE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四、期末现金增加（1+32+37）</w:t>
            </w:r>
          </w:p>
        </w:tc>
        <w:tc>
          <w:tcPr>
            <w:tcW w:w="1110" w:type="dxa"/>
            <w:tcBorders>
              <w:top w:val="single" w:color="000000" w:sz="4" w:space="0"/>
              <w:left w:val="single" w:color="000000" w:sz="4" w:space="0"/>
              <w:bottom w:val="single" w:color="000000" w:sz="4" w:space="0"/>
              <w:right w:val="single" w:color="000000" w:sz="4" w:space="0"/>
            </w:tcBorders>
            <w:vAlign w:val="center"/>
          </w:tcPr>
          <w:p w14:paraId="59ED552C">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16AB3CC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3,898.66 </w:t>
            </w:r>
          </w:p>
        </w:tc>
        <w:tc>
          <w:tcPr>
            <w:tcW w:w="1020" w:type="dxa"/>
            <w:tcBorders>
              <w:top w:val="single" w:color="000000" w:sz="4" w:space="0"/>
              <w:left w:val="single" w:color="000000" w:sz="4" w:space="0"/>
              <w:bottom w:val="single" w:color="000000" w:sz="4" w:space="0"/>
              <w:right w:val="single" w:color="000000" w:sz="4" w:space="0"/>
            </w:tcBorders>
            <w:vAlign w:val="center"/>
          </w:tcPr>
          <w:p w14:paraId="5DF2FB3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17CB8B47">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138EF03B">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1,583.89 </w:t>
            </w:r>
          </w:p>
        </w:tc>
        <w:tc>
          <w:tcPr>
            <w:tcW w:w="931" w:type="dxa"/>
            <w:tcBorders>
              <w:top w:val="single" w:color="000000" w:sz="4" w:space="0"/>
              <w:left w:val="single" w:color="000000" w:sz="4" w:space="0"/>
              <w:bottom w:val="single" w:color="000000" w:sz="4" w:space="0"/>
              <w:right w:val="single" w:color="000000" w:sz="4" w:space="0"/>
            </w:tcBorders>
            <w:vAlign w:val="center"/>
          </w:tcPr>
          <w:p w14:paraId="1BBA16E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1,600.73 </w:t>
            </w:r>
          </w:p>
        </w:tc>
        <w:tc>
          <w:tcPr>
            <w:tcW w:w="931" w:type="dxa"/>
            <w:tcBorders>
              <w:top w:val="single" w:color="000000" w:sz="4" w:space="0"/>
              <w:left w:val="single" w:color="000000" w:sz="4" w:space="0"/>
              <w:bottom w:val="single" w:color="000000" w:sz="4" w:space="0"/>
              <w:right w:val="single" w:color="000000" w:sz="4" w:space="0"/>
            </w:tcBorders>
            <w:vAlign w:val="center"/>
          </w:tcPr>
          <w:p w14:paraId="3550791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1,692.97 </w:t>
            </w:r>
          </w:p>
        </w:tc>
        <w:tc>
          <w:tcPr>
            <w:tcW w:w="931" w:type="dxa"/>
            <w:tcBorders>
              <w:top w:val="single" w:color="000000" w:sz="4" w:space="0"/>
              <w:left w:val="single" w:color="000000" w:sz="4" w:space="0"/>
              <w:bottom w:val="single" w:color="000000" w:sz="4" w:space="0"/>
              <w:right w:val="single" w:color="000000" w:sz="4" w:space="0"/>
            </w:tcBorders>
            <w:vAlign w:val="center"/>
          </w:tcPr>
          <w:p w14:paraId="0DA52C2D">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1,711.01 </w:t>
            </w:r>
          </w:p>
        </w:tc>
        <w:tc>
          <w:tcPr>
            <w:tcW w:w="931" w:type="dxa"/>
            <w:tcBorders>
              <w:top w:val="single" w:color="000000" w:sz="4" w:space="0"/>
              <w:left w:val="single" w:color="000000" w:sz="4" w:space="0"/>
              <w:bottom w:val="single" w:color="000000" w:sz="4" w:space="0"/>
              <w:right w:val="single" w:color="000000" w:sz="4" w:space="0"/>
            </w:tcBorders>
            <w:vAlign w:val="center"/>
          </w:tcPr>
          <w:p w14:paraId="2884927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1,714.23 </w:t>
            </w:r>
          </w:p>
        </w:tc>
        <w:tc>
          <w:tcPr>
            <w:tcW w:w="1020" w:type="dxa"/>
            <w:tcBorders>
              <w:top w:val="single" w:color="000000" w:sz="4" w:space="0"/>
              <w:left w:val="single" w:color="000000" w:sz="4" w:space="0"/>
              <w:bottom w:val="single" w:color="000000" w:sz="4" w:space="0"/>
              <w:right w:val="single" w:color="000000" w:sz="4" w:space="0"/>
            </w:tcBorders>
            <w:vAlign w:val="center"/>
          </w:tcPr>
          <w:p w14:paraId="2B53229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1,814.34 </w:t>
            </w:r>
          </w:p>
        </w:tc>
        <w:tc>
          <w:tcPr>
            <w:tcW w:w="1020" w:type="dxa"/>
            <w:tcBorders>
              <w:top w:val="single" w:color="000000" w:sz="4" w:space="0"/>
              <w:left w:val="single" w:color="000000" w:sz="4" w:space="0"/>
              <w:bottom w:val="single" w:color="000000" w:sz="4" w:space="0"/>
              <w:right w:val="single" w:color="000000" w:sz="4" w:space="0"/>
            </w:tcBorders>
            <w:vAlign w:val="center"/>
          </w:tcPr>
          <w:p w14:paraId="5B98CAD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1,833.86 </w:t>
            </w:r>
          </w:p>
        </w:tc>
        <w:tc>
          <w:tcPr>
            <w:tcW w:w="1021" w:type="dxa"/>
            <w:tcBorders>
              <w:top w:val="single" w:color="000000" w:sz="4" w:space="0"/>
              <w:left w:val="single" w:color="000000" w:sz="4" w:space="0"/>
              <w:bottom w:val="single" w:color="000000" w:sz="4" w:space="0"/>
              <w:right w:val="single" w:color="000000" w:sz="4" w:space="0"/>
            </w:tcBorders>
            <w:vAlign w:val="center"/>
          </w:tcPr>
          <w:p w14:paraId="7AC2D870">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-4,146.43 </w:t>
            </w:r>
          </w:p>
        </w:tc>
        <w:tc>
          <w:tcPr>
            <w:tcW w:w="1021" w:type="dxa"/>
            <w:tcBorders>
              <w:top w:val="single" w:color="000000" w:sz="4" w:space="0"/>
              <w:left w:val="single" w:color="000000" w:sz="4" w:space="0"/>
              <w:bottom w:val="single" w:color="000000" w:sz="4" w:space="0"/>
              <w:right w:val="single" w:color="000000" w:sz="4" w:space="0"/>
            </w:tcBorders>
            <w:vAlign w:val="center"/>
          </w:tcPr>
          <w:p w14:paraId="1E877C5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-3,905.92 </w:t>
            </w:r>
          </w:p>
        </w:tc>
      </w:tr>
      <w:tr w14:paraId="687F6F3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88" w:hRule="atLeast"/>
          <w:jc w:val="center"/>
        </w:trPr>
        <w:tc>
          <w:tcPr>
            <w:tcW w:w="1199" w:type="dxa"/>
            <w:tcBorders>
              <w:top w:val="single" w:color="000000" w:sz="4" w:space="0"/>
              <w:left w:val="single" w:color="000000" w:sz="4" w:space="0"/>
              <w:bottom w:val="single" w:color="000000" w:sz="4" w:space="0"/>
              <w:right w:val="single" w:color="000000" w:sz="4" w:space="0"/>
            </w:tcBorders>
            <w:vAlign w:val="center"/>
          </w:tcPr>
          <w:p w14:paraId="445E914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left"/>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五、累计盈余资金</w:t>
            </w:r>
          </w:p>
        </w:tc>
        <w:tc>
          <w:tcPr>
            <w:tcW w:w="1110" w:type="dxa"/>
            <w:tcBorders>
              <w:top w:val="single" w:color="000000" w:sz="4" w:space="0"/>
              <w:left w:val="single" w:color="000000" w:sz="4" w:space="0"/>
              <w:bottom w:val="single" w:color="000000" w:sz="4" w:space="0"/>
              <w:right w:val="single" w:color="000000" w:sz="4" w:space="0"/>
            </w:tcBorders>
            <w:vAlign w:val="center"/>
          </w:tcPr>
          <w:p w14:paraId="5D69CB2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110" w:type="dxa"/>
            <w:tcBorders>
              <w:top w:val="single" w:color="000000" w:sz="4" w:space="0"/>
              <w:left w:val="single" w:color="000000" w:sz="4" w:space="0"/>
              <w:bottom w:val="single" w:color="000000" w:sz="4" w:space="0"/>
              <w:right w:val="single" w:color="000000" w:sz="4" w:space="0"/>
            </w:tcBorders>
            <w:vAlign w:val="center"/>
          </w:tcPr>
          <w:p w14:paraId="230E388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4D29DED6">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1020" w:type="dxa"/>
            <w:tcBorders>
              <w:top w:val="single" w:color="000000" w:sz="4" w:space="0"/>
              <w:left w:val="single" w:color="000000" w:sz="4" w:space="0"/>
              <w:bottom w:val="single" w:color="000000" w:sz="4" w:space="0"/>
              <w:right w:val="single" w:color="000000" w:sz="4" w:space="0"/>
            </w:tcBorders>
            <w:vAlign w:val="center"/>
          </w:tcPr>
          <w:p w14:paraId="654A46FE">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   </w:t>
            </w:r>
          </w:p>
        </w:tc>
        <w:tc>
          <w:tcPr>
            <w:tcW w:w="931" w:type="dxa"/>
            <w:tcBorders>
              <w:top w:val="single" w:color="000000" w:sz="4" w:space="0"/>
              <w:left w:val="single" w:color="000000" w:sz="4" w:space="0"/>
              <w:bottom w:val="single" w:color="000000" w:sz="4" w:space="0"/>
              <w:right w:val="single" w:color="000000" w:sz="4" w:space="0"/>
            </w:tcBorders>
            <w:vAlign w:val="center"/>
          </w:tcPr>
          <w:p w14:paraId="0B76A6A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1,583.89 </w:t>
            </w:r>
          </w:p>
        </w:tc>
        <w:tc>
          <w:tcPr>
            <w:tcW w:w="931" w:type="dxa"/>
            <w:tcBorders>
              <w:top w:val="single" w:color="000000" w:sz="4" w:space="0"/>
              <w:left w:val="single" w:color="000000" w:sz="4" w:space="0"/>
              <w:bottom w:val="single" w:color="000000" w:sz="4" w:space="0"/>
              <w:right w:val="single" w:color="000000" w:sz="4" w:space="0"/>
            </w:tcBorders>
            <w:vAlign w:val="center"/>
          </w:tcPr>
          <w:p w14:paraId="68086425">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3,184.62 </w:t>
            </w:r>
          </w:p>
        </w:tc>
        <w:tc>
          <w:tcPr>
            <w:tcW w:w="931" w:type="dxa"/>
            <w:tcBorders>
              <w:top w:val="single" w:color="000000" w:sz="4" w:space="0"/>
              <w:left w:val="single" w:color="000000" w:sz="4" w:space="0"/>
              <w:bottom w:val="single" w:color="000000" w:sz="4" w:space="0"/>
              <w:right w:val="single" w:color="000000" w:sz="4" w:space="0"/>
            </w:tcBorders>
            <w:vAlign w:val="center"/>
          </w:tcPr>
          <w:p w14:paraId="009BCECF">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4,877.59 </w:t>
            </w:r>
          </w:p>
        </w:tc>
        <w:tc>
          <w:tcPr>
            <w:tcW w:w="931" w:type="dxa"/>
            <w:tcBorders>
              <w:top w:val="single" w:color="000000" w:sz="4" w:space="0"/>
              <w:left w:val="single" w:color="000000" w:sz="4" w:space="0"/>
              <w:bottom w:val="single" w:color="000000" w:sz="4" w:space="0"/>
              <w:right w:val="single" w:color="000000" w:sz="4" w:space="0"/>
            </w:tcBorders>
            <w:vAlign w:val="center"/>
          </w:tcPr>
          <w:p w14:paraId="6AF97D13">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6,588.59 </w:t>
            </w:r>
          </w:p>
        </w:tc>
        <w:tc>
          <w:tcPr>
            <w:tcW w:w="931" w:type="dxa"/>
            <w:tcBorders>
              <w:top w:val="single" w:color="000000" w:sz="4" w:space="0"/>
              <w:left w:val="single" w:color="000000" w:sz="4" w:space="0"/>
              <w:bottom w:val="single" w:color="000000" w:sz="4" w:space="0"/>
              <w:right w:val="single" w:color="000000" w:sz="4" w:space="0"/>
            </w:tcBorders>
            <w:vAlign w:val="center"/>
          </w:tcPr>
          <w:p w14:paraId="02277062">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8,302.82 </w:t>
            </w:r>
          </w:p>
        </w:tc>
        <w:tc>
          <w:tcPr>
            <w:tcW w:w="1020" w:type="dxa"/>
            <w:tcBorders>
              <w:top w:val="single" w:color="000000" w:sz="4" w:space="0"/>
              <w:left w:val="single" w:color="000000" w:sz="4" w:space="0"/>
              <w:bottom w:val="single" w:color="000000" w:sz="4" w:space="0"/>
              <w:right w:val="single" w:color="000000" w:sz="4" w:space="0"/>
            </w:tcBorders>
            <w:vAlign w:val="center"/>
          </w:tcPr>
          <w:p w14:paraId="26295511">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10,117.16 </w:t>
            </w:r>
          </w:p>
        </w:tc>
        <w:tc>
          <w:tcPr>
            <w:tcW w:w="1020" w:type="dxa"/>
            <w:tcBorders>
              <w:top w:val="single" w:color="000000" w:sz="4" w:space="0"/>
              <w:left w:val="single" w:color="000000" w:sz="4" w:space="0"/>
              <w:bottom w:val="single" w:color="000000" w:sz="4" w:space="0"/>
              <w:right w:val="single" w:color="000000" w:sz="4" w:space="0"/>
            </w:tcBorders>
            <w:vAlign w:val="center"/>
          </w:tcPr>
          <w:p w14:paraId="17BC96C8">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11,951.02 </w:t>
            </w:r>
          </w:p>
        </w:tc>
        <w:tc>
          <w:tcPr>
            <w:tcW w:w="1021" w:type="dxa"/>
            <w:tcBorders>
              <w:top w:val="single" w:color="000000" w:sz="4" w:space="0"/>
              <w:left w:val="single" w:color="000000" w:sz="4" w:space="0"/>
              <w:bottom w:val="single" w:color="000000" w:sz="4" w:space="0"/>
              <w:right w:val="single" w:color="000000" w:sz="4" w:space="0"/>
            </w:tcBorders>
            <w:vAlign w:val="center"/>
          </w:tcPr>
          <w:p w14:paraId="59A67414">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7,804.59 </w:t>
            </w:r>
          </w:p>
        </w:tc>
        <w:tc>
          <w:tcPr>
            <w:tcW w:w="1021" w:type="dxa"/>
            <w:tcBorders>
              <w:top w:val="single" w:color="000000" w:sz="4" w:space="0"/>
              <w:left w:val="single" w:color="000000" w:sz="4" w:space="0"/>
              <w:bottom w:val="single" w:color="000000" w:sz="4" w:space="0"/>
              <w:right w:val="single" w:color="000000" w:sz="4" w:space="0"/>
            </w:tcBorders>
            <w:vAlign w:val="center"/>
          </w:tcPr>
          <w:p w14:paraId="15AE8989">
            <w:pPr>
              <w:keepNext w:val="0"/>
              <w:keepLines w:val="0"/>
              <w:pageBreakBefore w:val="0"/>
              <w:widowControl/>
              <w:suppressLineNumbers w:val="0"/>
              <w:kinsoku/>
              <w:wordWrap/>
              <w:overflowPunct/>
              <w:topLinePunct w:val="0"/>
              <w:autoSpaceDE/>
              <w:autoSpaceDN/>
              <w:bidi w:val="0"/>
              <w:spacing w:before="0" w:beforeAutospacing="0" w:after="0" w:afterAutospacing="0" w:line="360" w:lineRule="auto"/>
              <w:ind w:left="0" w:right="0"/>
              <w:jc w:val="center"/>
              <w:textAlignment w:val="center"/>
              <w:rPr>
                <w:rFonts w:hint="eastAsia" w:ascii="仿宋" w:hAnsi="仿宋" w:eastAsia="仿宋" w:cs="仿宋"/>
                <w:i w:val="0"/>
                <w:iCs w:val="0"/>
                <w:color w:val="000000"/>
                <w:sz w:val="18"/>
                <w:szCs w:val="18"/>
                <w:u w:val="none"/>
              </w:rPr>
            </w:pPr>
            <w:r>
              <w:rPr>
                <w:rFonts w:hint="eastAsia" w:ascii="仿宋" w:hAnsi="仿宋" w:eastAsia="仿宋" w:cs="仿宋"/>
                <w:i w:val="0"/>
                <w:iCs w:val="0"/>
                <w:color w:val="000000"/>
                <w:kern w:val="0"/>
                <w:sz w:val="18"/>
                <w:szCs w:val="18"/>
                <w:u w:val="none"/>
                <w:lang w:val="en-US" w:eastAsia="zh-CN" w:bidi="ar"/>
              </w:rPr>
              <w:t xml:space="preserve"> 3,898.66 </w:t>
            </w:r>
          </w:p>
        </w:tc>
      </w:tr>
    </w:tbl>
    <w:p w14:paraId="641B3267">
      <w:pPr>
        <w:pStyle w:val="25"/>
        <w:keepNext w:val="0"/>
        <w:keepLines w:val="0"/>
        <w:pageBreakBefore w:val="0"/>
        <w:tabs>
          <w:tab w:val="left" w:pos="312"/>
        </w:tabs>
        <w:kinsoku/>
        <w:wordWrap/>
        <w:overflowPunct/>
        <w:topLinePunct w:val="0"/>
        <w:autoSpaceDE/>
        <w:autoSpaceDN/>
        <w:bidi w:val="0"/>
        <w:adjustRightInd w:val="0"/>
        <w:snapToGrid w:val="0"/>
        <w:spacing w:line="360" w:lineRule="auto"/>
        <w:ind w:firstLine="0" w:firstLineChars="0"/>
        <w:jc w:val="center"/>
        <w:textAlignment w:val="auto"/>
        <w:rPr>
          <w:rFonts w:hint="eastAsia" w:ascii="仿宋" w:hAnsi="仿宋" w:eastAsia="仿宋" w:cs="仿宋"/>
          <w:b/>
          <w:color w:val="000000" w:themeColor="text1"/>
          <w:spacing w:val="-20"/>
          <w:sz w:val="30"/>
          <w:szCs w:val="30"/>
          <w14:textFill>
            <w14:solidFill>
              <w14:schemeClr w14:val="tx1"/>
            </w14:solidFill>
          </w14:textFill>
        </w:rPr>
      </w:pPr>
    </w:p>
    <w:p w14:paraId="4739CA77">
      <w:pPr>
        <w:pStyle w:val="2"/>
        <w:keepNext w:val="0"/>
        <w:keepLines w:val="0"/>
        <w:pageBreakBefore w:val="0"/>
        <w:kinsoku/>
        <w:wordWrap/>
        <w:overflowPunct/>
        <w:topLinePunct w:val="0"/>
        <w:autoSpaceDE/>
        <w:autoSpaceDN/>
        <w:bidi w:val="0"/>
        <w:spacing w:line="360" w:lineRule="auto"/>
        <w:rPr>
          <w:rFonts w:hint="eastAsia" w:ascii="仿宋" w:hAnsi="仿宋" w:eastAsia="仿宋" w:cs="仿宋"/>
          <w:sz w:val="30"/>
          <w:szCs w:val="30"/>
        </w:rPr>
        <w:sectPr>
          <w:pgSz w:w="16838" w:h="11906" w:orient="landscape"/>
          <w:pgMar w:top="1800" w:right="1440" w:bottom="1800" w:left="1418" w:header="851" w:footer="992" w:gutter="0"/>
          <w:cols w:space="425" w:num="1"/>
          <w:docGrid w:type="lines" w:linePitch="312" w:charSpace="0"/>
        </w:sectPr>
      </w:pPr>
    </w:p>
    <w:p w14:paraId="4405EB9F">
      <w:pPr>
        <w:keepNext w:val="0"/>
        <w:keepLines w:val="0"/>
        <w:pageBreakBefore w:val="0"/>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五、项目绩效目标</w:t>
      </w:r>
    </w:p>
    <w:p w14:paraId="380ECA92">
      <w:pPr>
        <w:keepNext w:val="0"/>
        <w:keepLines w:val="0"/>
        <w:pageBreakBefore w:val="0"/>
        <w:kinsoku/>
        <w:wordWrap/>
        <w:overflowPunct/>
        <w:topLinePunct w:val="0"/>
        <w:autoSpaceDE/>
        <w:autoSpaceDN/>
        <w:bidi w:val="0"/>
        <w:spacing w:line="360" w:lineRule="auto"/>
        <w:ind w:firstLine="520" w:firstLineChars="200"/>
        <w:textAlignment w:val="auto"/>
        <w:rPr>
          <w:rFonts w:hint="eastAsia" w:ascii="仿宋" w:hAnsi="仿宋" w:eastAsia="仿宋" w:cs="仿宋"/>
          <w:color w:val="000000" w:themeColor="text1"/>
          <w:spacing w:val="-20"/>
          <w:sz w:val="30"/>
          <w:szCs w:val="30"/>
          <w14:textFill>
            <w14:solidFill>
              <w14:schemeClr w14:val="tx1"/>
            </w14:solidFill>
          </w14:textFill>
        </w:rPr>
      </w:pPr>
      <w:r>
        <w:rPr>
          <w:rFonts w:hint="eastAsia" w:ascii="仿宋" w:hAnsi="仿宋" w:eastAsia="仿宋" w:cs="仿宋"/>
          <w:color w:val="000000" w:themeColor="text1"/>
          <w:spacing w:val="-20"/>
          <w:sz w:val="30"/>
          <w:szCs w:val="30"/>
          <w14:textFill>
            <w14:solidFill>
              <w14:schemeClr w14:val="tx1"/>
            </w14:solidFill>
          </w14:textFill>
        </w:rPr>
        <w:t>时效指标：按期完成本项目工程建设，并及时投入运营。</w:t>
      </w:r>
    </w:p>
    <w:p w14:paraId="158C6F18">
      <w:pPr>
        <w:keepNext w:val="0"/>
        <w:keepLines w:val="0"/>
        <w:pageBreakBefore w:val="0"/>
        <w:kinsoku/>
        <w:wordWrap/>
        <w:overflowPunct/>
        <w:topLinePunct w:val="0"/>
        <w:autoSpaceDE/>
        <w:autoSpaceDN/>
        <w:bidi w:val="0"/>
        <w:spacing w:line="360" w:lineRule="auto"/>
        <w:ind w:firstLine="520" w:firstLineChars="200"/>
        <w:textAlignment w:val="auto"/>
        <w:rPr>
          <w:rFonts w:hint="eastAsia" w:ascii="仿宋" w:hAnsi="仿宋" w:eastAsia="仿宋" w:cs="仿宋"/>
          <w:color w:val="000000" w:themeColor="text1"/>
          <w:spacing w:val="-20"/>
          <w:sz w:val="30"/>
          <w:szCs w:val="30"/>
          <w14:textFill>
            <w14:solidFill>
              <w14:schemeClr w14:val="tx1"/>
            </w14:solidFill>
          </w14:textFill>
        </w:rPr>
      </w:pPr>
      <w:r>
        <w:rPr>
          <w:rFonts w:hint="eastAsia" w:ascii="仿宋" w:hAnsi="仿宋" w:eastAsia="仿宋" w:cs="仿宋"/>
          <w:color w:val="000000" w:themeColor="text1"/>
          <w:spacing w:val="-20"/>
          <w:sz w:val="30"/>
          <w:szCs w:val="30"/>
          <w14:textFill>
            <w14:solidFill>
              <w14:schemeClr w14:val="tx1"/>
            </w14:solidFill>
          </w14:textFill>
        </w:rPr>
        <w:t>成本指标：项目建设总投资控制在</w:t>
      </w:r>
      <w:r>
        <w:rPr>
          <w:rFonts w:hint="eastAsia" w:ascii="仿宋" w:hAnsi="仿宋" w:eastAsia="仿宋" w:cs="仿宋"/>
          <w:color w:val="000000" w:themeColor="text1"/>
          <w:spacing w:val="-20"/>
          <w:sz w:val="30"/>
          <w:szCs w:val="30"/>
          <w:lang w:val="en-US" w:eastAsia="zh-CN"/>
          <w14:textFill>
            <w14:solidFill>
              <w14:schemeClr w14:val="tx1"/>
            </w14:solidFill>
          </w14:textFill>
        </w:rPr>
        <w:t>20</w:t>
      </w:r>
      <w:r>
        <w:rPr>
          <w:rFonts w:hint="eastAsia" w:ascii="仿宋" w:hAnsi="仿宋" w:eastAsia="仿宋" w:cs="仿宋"/>
          <w:color w:val="000000" w:themeColor="text1"/>
          <w:spacing w:val="-20"/>
          <w:sz w:val="30"/>
          <w:szCs w:val="30"/>
          <w14:textFill>
            <w14:solidFill>
              <w14:schemeClr w14:val="tx1"/>
            </w14:solidFill>
          </w14:textFill>
        </w:rPr>
        <w:t>,000.00万元以内。</w:t>
      </w:r>
    </w:p>
    <w:p w14:paraId="3439C479">
      <w:pPr>
        <w:keepNext w:val="0"/>
        <w:keepLines w:val="0"/>
        <w:pageBreakBefore w:val="0"/>
        <w:kinsoku/>
        <w:wordWrap/>
        <w:overflowPunct/>
        <w:topLinePunct w:val="0"/>
        <w:autoSpaceDE/>
        <w:autoSpaceDN/>
        <w:bidi w:val="0"/>
        <w:spacing w:line="360" w:lineRule="auto"/>
        <w:ind w:firstLine="520" w:firstLineChars="200"/>
        <w:textAlignment w:val="auto"/>
        <w:rPr>
          <w:rFonts w:hint="eastAsia" w:ascii="仿宋" w:hAnsi="仿宋" w:eastAsia="仿宋" w:cs="仿宋"/>
          <w:color w:val="000000" w:themeColor="text1"/>
          <w:spacing w:val="-20"/>
          <w:sz w:val="30"/>
          <w:szCs w:val="30"/>
          <w14:textFill>
            <w14:solidFill>
              <w14:schemeClr w14:val="tx1"/>
            </w14:solidFill>
          </w14:textFill>
        </w:rPr>
      </w:pPr>
      <w:r>
        <w:rPr>
          <w:rFonts w:hint="eastAsia" w:ascii="仿宋" w:hAnsi="仿宋" w:eastAsia="仿宋" w:cs="仿宋"/>
          <w:color w:val="000000" w:themeColor="text1"/>
          <w:spacing w:val="-20"/>
          <w:sz w:val="30"/>
          <w:szCs w:val="30"/>
          <w14:textFill>
            <w14:solidFill>
              <w14:schemeClr w14:val="tx1"/>
            </w14:solidFill>
          </w14:textFill>
        </w:rPr>
        <w:t>可持续性影响：保障地方经济可持续发展，</w:t>
      </w:r>
      <w:r>
        <w:rPr>
          <w:rFonts w:hint="eastAsia" w:ascii="仿宋" w:hAnsi="仿宋" w:eastAsia="仿宋" w:cs="仿宋"/>
          <w:color w:val="000000" w:themeColor="text1"/>
          <w:spacing w:val="-20"/>
          <w:sz w:val="30"/>
          <w:szCs w:val="30"/>
          <w:lang w:val="en-US" w:eastAsia="zh-CN"/>
          <w14:textFill>
            <w14:solidFill>
              <w14:schemeClr w14:val="tx1"/>
            </w14:solidFill>
          </w14:textFill>
        </w:rPr>
        <w:t>促进了绵竹</w:t>
      </w:r>
      <w:r>
        <w:rPr>
          <w:rFonts w:hint="eastAsia" w:ascii="仿宋" w:hAnsi="仿宋" w:eastAsia="仿宋" w:cs="仿宋"/>
          <w:color w:val="000000" w:themeColor="text1"/>
          <w:spacing w:val="-20"/>
          <w:sz w:val="30"/>
          <w:szCs w:val="30"/>
          <w14:textFill>
            <w14:solidFill>
              <w14:schemeClr w14:val="tx1"/>
            </w14:solidFill>
          </w14:textFill>
        </w:rPr>
        <w:t>发展空间，加快了</w:t>
      </w:r>
      <w:r>
        <w:rPr>
          <w:rFonts w:hint="eastAsia" w:ascii="仿宋" w:hAnsi="仿宋" w:eastAsia="仿宋" w:cs="仿宋"/>
          <w:color w:val="000000" w:themeColor="text1"/>
          <w:spacing w:val="-20"/>
          <w:sz w:val="30"/>
          <w:szCs w:val="30"/>
          <w:lang w:val="en-US" w:eastAsia="zh-CN"/>
          <w14:textFill>
            <w14:solidFill>
              <w14:schemeClr w14:val="tx1"/>
            </w14:solidFill>
          </w14:textFill>
        </w:rPr>
        <w:t>绵竹</w:t>
      </w:r>
      <w:r>
        <w:rPr>
          <w:rFonts w:hint="eastAsia" w:ascii="仿宋" w:hAnsi="仿宋" w:eastAsia="仿宋" w:cs="仿宋"/>
          <w:color w:val="000000" w:themeColor="text1"/>
          <w:spacing w:val="-20"/>
          <w:sz w:val="30"/>
          <w:szCs w:val="30"/>
          <w14:textFill>
            <w14:solidFill>
              <w14:schemeClr w14:val="tx1"/>
            </w14:solidFill>
          </w14:textFill>
        </w:rPr>
        <w:t>城市建设，拉动了区域经济增长，使人民群众的生活、居住环境得到质的提升，并带动大批间接就业人员，能部分解决项目区农村剩余劳动力的就业问题，有利于提高当地群众的生活水平，维护社会稳定。</w:t>
      </w:r>
      <w:r>
        <w:rPr>
          <w:rFonts w:hint="eastAsia" w:ascii="仿宋" w:hAnsi="仿宋" w:eastAsia="仿宋" w:cs="仿宋"/>
          <w:bCs/>
          <w:kern w:val="2"/>
          <w:sz w:val="32"/>
          <w:szCs w:val="32"/>
          <w:highlight w:val="none"/>
          <w:lang w:val="en-US"/>
        </w:rPr>
        <w:drawing>
          <wp:inline distT="0" distB="0" distL="114300" distR="114300">
            <wp:extent cx="5269865" cy="7452995"/>
            <wp:effectExtent l="0" t="0" r="3175" b="14605"/>
            <wp:docPr id="7" name="图片 4" descr="事前绩效评估报告-绵竹市农业科技碳循环双创产业融合示范园项目_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descr="事前绩效评估报告-绵竹市农业科技碳循环双创产业融合示范园项目_18"/>
                    <pic:cNvPicPr>
                      <a:picLocks noChangeAspect="1"/>
                    </pic:cNvPicPr>
                  </pic:nvPicPr>
                  <pic:blipFill>
                    <a:blip r:embed="rId7"/>
                    <a:stretch>
                      <a:fillRect/>
                    </a:stretch>
                  </pic:blipFill>
                  <pic:spPr>
                    <a:xfrm>
                      <a:off x="0" y="0"/>
                      <a:ext cx="5269865" cy="7452995"/>
                    </a:xfrm>
                    <a:prstGeom prst="rect">
                      <a:avLst/>
                    </a:prstGeom>
                    <a:noFill/>
                    <a:ln>
                      <a:noFill/>
                    </a:ln>
                  </pic:spPr>
                </pic:pic>
              </a:graphicData>
            </a:graphic>
          </wp:inline>
        </w:drawing>
      </w:r>
      <w:r>
        <w:rPr>
          <w:rFonts w:hint="eastAsia" w:ascii="仿宋" w:hAnsi="仿宋" w:eastAsia="仿宋" w:cs="仿宋"/>
          <w:bCs/>
          <w:kern w:val="2"/>
          <w:sz w:val="32"/>
          <w:szCs w:val="32"/>
          <w:highlight w:val="none"/>
          <w:lang w:val="en-US"/>
        </w:rPr>
        <w:drawing>
          <wp:inline distT="0" distB="0" distL="114300" distR="114300">
            <wp:extent cx="5269865" cy="7452995"/>
            <wp:effectExtent l="0" t="0" r="3175" b="14605"/>
            <wp:docPr id="8" name="图片 5" descr="事前绩效评估报告-绵竹市农业科技碳循环双创产业融合示范园项目_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descr="事前绩效评估报告-绵竹市农业科技碳循环双创产业融合示范园项目_19"/>
                    <pic:cNvPicPr>
                      <a:picLocks noChangeAspect="1"/>
                    </pic:cNvPicPr>
                  </pic:nvPicPr>
                  <pic:blipFill>
                    <a:blip r:embed="rId8"/>
                    <a:stretch>
                      <a:fillRect/>
                    </a:stretch>
                  </pic:blipFill>
                  <pic:spPr>
                    <a:xfrm>
                      <a:off x="0" y="0"/>
                      <a:ext cx="5269865" cy="7452995"/>
                    </a:xfrm>
                    <a:prstGeom prst="rect">
                      <a:avLst/>
                    </a:prstGeom>
                    <a:noFill/>
                    <a:ln>
                      <a:noFill/>
                    </a:ln>
                  </pic:spPr>
                </pic:pic>
              </a:graphicData>
            </a:graphic>
          </wp:inline>
        </w:drawing>
      </w:r>
    </w:p>
    <w:p w14:paraId="279B755E">
      <w:pPr>
        <w:pStyle w:val="2"/>
        <w:pageBreakBefore w:val="0"/>
        <w:kinsoku/>
        <w:wordWrap/>
        <w:overflowPunct/>
        <w:topLinePunct w:val="0"/>
        <w:autoSpaceDE/>
        <w:autoSpaceDN/>
        <w:bidi w:val="0"/>
        <w:spacing w:line="360" w:lineRule="auto"/>
        <w:jc w:val="center"/>
        <w:rPr>
          <w:rFonts w:hint="eastAsia" w:ascii="仿宋" w:hAnsi="仿宋" w:eastAsia="仿宋" w:cs="仿宋"/>
        </w:rPr>
      </w:pPr>
    </w:p>
    <w:p w14:paraId="7493207D">
      <w:pPr>
        <w:pageBreakBefore w:val="0"/>
        <w:kinsoku/>
        <w:wordWrap/>
        <w:overflowPunct/>
        <w:topLinePunct w:val="0"/>
        <w:autoSpaceDE/>
        <w:autoSpaceDN/>
        <w:bidi w:val="0"/>
        <w:spacing w:line="360" w:lineRule="auto"/>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br w:type="page"/>
      </w:r>
    </w:p>
    <w:p w14:paraId="605B7CCC">
      <w:pPr>
        <w:keepNext w:val="0"/>
        <w:keepLines w:val="0"/>
        <w:pageBreakBefore w:val="0"/>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六、潜在影响项目的风险评估</w:t>
      </w:r>
    </w:p>
    <w:p w14:paraId="2DEBCE4A">
      <w:pPr>
        <w:keepNext w:val="0"/>
        <w:keepLines w:val="0"/>
        <w:pageBreakBefore w:val="0"/>
        <w:kinsoku/>
        <w:wordWrap/>
        <w:overflowPunct/>
        <w:topLinePunct w:val="0"/>
        <w:autoSpaceDE/>
        <w:autoSpaceDN/>
        <w:bidi w:val="0"/>
        <w:spacing w:line="360" w:lineRule="auto"/>
        <w:ind w:firstLine="520" w:firstLineChars="200"/>
        <w:textAlignment w:val="auto"/>
        <w:rPr>
          <w:rFonts w:hint="eastAsia" w:ascii="仿宋" w:hAnsi="仿宋" w:eastAsia="仿宋" w:cs="仿宋"/>
          <w:color w:val="000000" w:themeColor="text1"/>
          <w:spacing w:val="-20"/>
          <w:sz w:val="30"/>
          <w:szCs w:val="30"/>
          <w14:textFill>
            <w14:solidFill>
              <w14:schemeClr w14:val="tx1"/>
            </w14:solidFill>
          </w14:textFill>
        </w:rPr>
      </w:pPr>
      <w:bookmarkStart w:id="8" w:name="_Toc498385098"/>
      <w:bookmarkStart w:id="9" w:name="_Toc498385766"/>
      <w:bookmarkStart w:id="10" w:name="_Toc12150"/>
      <w:r>
        <w:rPr>
          <w:rFonts w:hint="eastAsia" w:ascii="仿宋" w:hAnsi="仿宋" w:eastAsia="仿宋" w:cs="仿宋"/>
          <w:color w:val="000000" w:themeColor="text1"/>
          <w:spacing w:val="-20"/>
          <w:sz w:val="30"/>
          <w:szCs w:val="30"/>
          <w14:textFill>
            <w14:solidFill>
              <w14:schemeClr w14:val="tx1"/>
            </w14:solidFill>
          </w14:textFill>
        </w:rPr>
        <w:t>经营风险是指生产经营的不确定性带来的风险。若项目投入运营后的运营收入未能达到预测值，将影响项目整体收益，对债券还本付息产生影响。要求项目管理单位密切关注项目运营情况，保证还本付息资金。因项目取得的政府性基金预算收入暂时难以实现，不能偿还到期债券本金时，可在专项债务限额内发行相关专项债券周转偿还，项目收入实现后予以归还。</w:t>
      </w:r>
    </w:p>
    <w:p w14:paraId="69F8913D">
      <w:pPr>
        <w:keepNext w:val="0"/>
        <w:keepLines w:val="0"/>
        <w:pageBreakBefore w:val="0"/>
        <w:kinsoku/>
        <w:wordWrap/>
        <w:overflowPunct/>
        <w:topLinePunct w:val="0"/>
        <w:autoSpaceDE/>
        <w:autoSpaceDN/>
        <w:bidi w:val="0"/>
        <w:spacing w:line="360" w:lineRule="auto"/>
        <w:ind w:firstLine="520" w:firstLineChars="200"/>
        <w:textAlignment w:val="auto"/>
        <w:rPr>
          <w:rFonts w:hint="eastAsia" w:ascii="仿宋" w:hAnsi="仿宋" w:eastAsia="仿宋" w:cs="仿宋"/>
          <w:color w:val="000000" w:themeColor="text1"/>
          <w:spacing w:val="-20"/>
          <w:sz w:val="30"/>
          <w:szCs w:val="30"/>
          <w14:textFill>
            <w14:solidFill>
              <w14:schemeClr w14:val="tx1"/>
            </w14:solidFill>
          </w14:textFill>
        </w:rPr>
      </w:pPr>
      <w:r>
        <w:rPr>
          <w:rFonts w:hint="eastAsia" w:ascii="仿宋" w:hAnsi="仿宋" w:eastAsia="仿宋" w:cs="仿宋"/>
          <w:color w:val="000000" w:themeColor="text1"/>
          <w:spacing w:val="-20"/>
          <w:sz w:val="30"/>
          <w:szCs w:val="30"/>
          <w14:textFill>
            <w14:solidFill>
              <w14:schemeClr w14:val="tx1"/>
            </w14:solidFill>
          </w14:textFill>
        </w:rPr>
        <w:t>市场风险是在专项债券存续期内，国际、国内宏观经济环境的变化，国家经济政策变动等因素会引起债务资本市场利率的波动，市场利率波动将会对本项目的财务成本产生一定影响，进而影响项目投资收益的平衡。要求项目单位合理安排债券发行金额和债券期限，做好债券的期限配比、还款计划和资金准备。密切关注宏观经济市场，充分与市场机构沟通，选择合适的发行窗口，降低财务成本，保证项目收益与融资平衡。</w:t>
      </w:r>
      <w:bookmarkEnd w:id="8"/>
      <w:bookmarkEnd w:id="9"/>
      <w:bookmarkEnd w:id="10"/>
    </w:p>
    <w:p w14:paraId="72E51653">
      <w:pPr>
        <w:pageBreakBefore w:val="0"/>
        <w:kinsoku/>
        <w:wordWrap/>
        <w:overflowPunct/>
        <w:topLinePunct w:val="0"/>
        <w:autoSpaceDE/>
        <w:autoSpaceDN/>
        <w:bidi w:val="0"/>
        <w:spacing w:line="360" w:lineRule="auto"/>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br w:type="page"/>
      </w:r>
    </w:p>
    <w:p w14:paraId="12055220">
      <w:pPr>
        <w:keepNext w:val="0"/>
        <w:keepLines w:val="0"/>
        <w:pageBreakBefore w:val="0"/>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七、还款保障情况</w:t>
      </w:r>
    </w:p>
    <w:p w14:paraId="6BA7B2C7">
      <w:pPr>
        <w:keepNext w:val="0"/>
        <w:keepLines w:val="0"/>
        <w:pageBreakBefore w:val="0"/>
        <w:kinsoku/>
        <w:wordWrap/>
        <w:overflowPunct/>
        <w:topLinePunct w:val="0"/>
        <w:autoSpaceDE/>
        <w:autoSpaceDN/>
        <w:bidi w:val="0"/>
        <w:spacing w:line="360" w:lineRule="auto"/>
        <w:ind w:firstLine="520" w:firstLineChars="200"/>
        <w:textAlignment w:val="auto"/>
        <w:rPr>
          <w:rFonts w:hint="eastAsia" w:ascii="仿宋" w:hAnsi="仿宋" w:eastAsia="仿宋" w:cs="仿宋"/>
          <w:color w:val="000000" w:themeColor="text1"/>
          <w:spacing w:val="-20"/>
          <w:sz w:val="30"/>
          <w:szCs w:val="30"/>
          <w14:textFill>
            <w14:solidFill>
              <w14:schemeClr w14:val="tx1"/>
            </w14:solidFill>
          </w14:textFill>
        </w:rPr>
      </w:pPr>
      <w:r>
        <w:rPr>
          <w:rFonts w:hint="eastAsia" w:ascii="仿宋" w:hAnsi="仿宋" w:eastAsia="仿宋" w:cs="仿宋"/>
          <w:color w:val="000000" w:themeColor="text1"/>
          <w:spacing w:val="-20"/>
          <w:sz w:val="30"/>
          <w:szCs w:val="30"/>
          <w14:textFill>
            <w14:solidFill>
              <w14:schemeClr w14:val="tx1"/>
            </w14:solidFill>
          </w14:textFill>
        </w:rPr>
        <w:t>按照《国务院办公厅关于印发地方政府性债务风险应急处置预案的通知》（国办函〔2016〕88号）规定，本级政府对地方政府债券依法承担全部偿还责任。本级财政将按照《财政部关于印发&lt;地方政府专项债务预算管理办法&gt;的通知》（财预〔2016〕155号）规定，及时按照转贷协议约定逐级向省财政缴纳本级应当承担的还本付息资金，由省财政按照合同约定及时偿还专项债券到期本息。如偿债出现困难，将通过调减投资计划、处置可变现资产、调整预算支出结构等方式筹集资金偿还债务。未按时足额向省财政缴纳专项债券还本付息资金的,省财政采取适当方式扣回。</w:t>
      </w:r>
    </w:p>
    <w:p w14:paraId="6F555DDE">
      <w:pPr>
        <w:pageBreakBefore w:val="0"/>
        <w:kinsoku/>
        <w:wordWrap/>
        <w:overflowPunct/>
        <w:topLinePunct w:val="0"/>
        <w:autoSpaceDE/>
        <w:autoSpaceDN/>
        <w:bidi w:val="0"/>
        <w:spacing w:line="360" w:lineRule="auto"/>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br w:type="page"/>
      </w:r>
    </w:p>
    <w:p w14:paraId="75FCBDB9">
      <w:pPr>
        <w:keepNext w:val="0"/>
        <w:keepLines w:val="0"/>
        <w:pageBreakBefore w:val="0"/>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八、主管部门</w:t>
      </w:r>
      <w:r>
        <w:rPr>
          <w:rFonts w:hint="eastAsia" w:ascii="仿宋" w:hAnsi="仿宋" w:eastAsia="仿宋" w:cs="仿宋"/>
          <w:b/>
          <w:color w:val="000000" w:themeColor="text1"/>
          <w:spacing w:val="-20"/>
          <w:sz w:val="30"/>
          <w:szCs w:val="30"/>
          <w:lang w:val="en-US" w:eastAsia="zh-CN"/>
          <w14:textFill>
            <w14:solidFill>
              <w14:schemeClr w14:val="tx1"/>
            </w14:solidFill>
          </w14:textFill>
        </w:rPr>
        <w:t>和项目单位</w:t>
      </w:r>
      <w:r>
        <w:rPr>
          <w:rFonts w:hint="eastAsia" w:ascii="仿宋" w:hAnsi="仿宋" w:eastAsia="仿宋" w:cs="仿宋"/>
          <w:b/>
          <w:color w:val="000000" w:themeColor="text1"/>
          <w:spacing w:val="-20"/>
          <w:sz w:val="30"/>
          <w:szCs w:val="30"/>
          <w14:textFill>
            <w14:solidFill>
              <w14:schemeClr w14:val="tx1"/>
            </w14:solidFill>
          </w14:textFill>
        </w:rPr>
        <w:t>责任</w:t>
      </w:r>
    </w:p>
    <w:p w14:paraId="589BBAC7">
      <w:pPr>
        <w:pStyle w:val="13"/>
        <w:keepNext w:val="0"/>
        <w:keepLines w:val="0"/>
        <w:pageBreakBefore w:val="0"/>
        <w:kinsoku/>
        <w:wordWrap/>
        <w:overflowPunct/>
        <w:topLinePunct w:val="0"/>
        <w:autoSpaceDE/>
        <w:autoSpaceDN/>
        <w:bidi w:val="0"/>
        <w:spacing w:line="360" w:lineRule="auto"/>
        <w:ind w:left="0" w:leftChars="0" w:firstLine="560"/>
        <w:textAlignment w:val="auto"/>
        <w:rPr>
          <w:rFonts w:hint="eastAsia" w:ascii="仿宋" w:hAnsi="仿宋" w:eastAsia="仿宋" w:cs="仿宋"/>
          <w:color w:val="000000" w:themeColor="text1"/>
          <w:spacing w:val="-20"/>
          <w:sz w:val="30"/>
          <w:szCs w:val="30"/>
          <w:lang w:val="en-US" w:eastAsia="zh-CN"/>
          <w14:textFill>
            <w14:solidFill>
              <w14:schemeClr w14:val="tx1"/>
            </w14:solidFill>
          </w14:textFill>
        </w:rPr>
      </w:pPr>
      <w:r>
        <w:rPr>
          <w:rFonts w:hint="eastAsia" w:ascii="仿宋" w:hAnsi="仿宋" w:eastAsia="仿宋" w:cs="仿宋"/>
          <w:color w:val="000000" w:themeColor="text1"/>
          <w:spacing w:val="-20"/>
          <w:sz w:val="30"/>
          <w:szCs w:val="30"/>
          <w:lang w:val="en-US" w:eastAsia="zh-CN"/>
          <w14:textFill>
            <w14:solidFill>
              <w14:schemeClr w14:val="tx1"/>
            </w14:solidFill>
          </w14:textFill>
        </w:rPr>
        <w:t>本项目的主管部门为四川德阳国家农业科技园区管理委员会 ，主管部门将会配合做好本地区项目收益专项债券发行工作，及时准确提供相关资料，配合做好信息披露、信用评级、资产评估等工作。项目运行过程中，主管部门将主动披露项目施工期间的施工进度、项目收益专项债券资金使用情况、项目运营期间的收支情况等信息。在债券资金管理方面，行业主管部门将会履行项目建设运营管理责任，加强成本控制，确保项目形成的专项收入应收尽收，并按照规定及时足额上交。年终时，行业主管部门配合财政部门编制项目收益债券收支决算，在政府性基金预算报告中全面、准确反映项目收益专项债券收入、支出、还本付息、发行费用、取得的收入等情况。债券对应资产管理方面，主管部门将会协同财政部门将本项目形成的资产纳入国有资产管理，建立相应的资产登记和统计报告制度，加强资产日常统计和动态监控。</w:t>
      </w:r>
    </w:p>
    <w:p w14:paraId="2A65DA73">
      <w:pPr>
        <w:pStyle w:val="13"/>
        <w:keepNext w:val="0"/>
        <w:keepLines w:val="0"/>
        <w:pageBreakBefore w:val="0"/>
        <w:kinsoku/>
        <w:wordWrap/>
        <w:overflowPunct/>
        <w:topLinePunct w:val="0"/>
        <w:autoSpaceDE/>
        <w:autoSpaceDN/>
        <w:bidi w:val="0"/>
        <w:spacing w:line="360" w:lineRule="auto"/>
        <w:ind w:left="0" w:leftChars="0" w:firstLine="560"/>
        <w:textAlignment w:val="auto"/>
        <w:rPr>
          <w:rFonts w:hint="eastAsia" w:ascii="仿宋" w:hAnsi="仿宋" w:eastAsia="仿宋" w:cs="仿宋"/>
          <w:color w:val="000000" w:themeColor="text1"/>
          <w:spacing w:val="-20"/>
          <w:sz w:val="30"/>
          <w:szCs w:val="30"/>
          <w14:textFill>
            <w14:solidFill>
              <w14:schemeClr w14:val="tx1"/>
            </w14:solidFill>
          </w14:textFill>
        </w:rPr>
      </w:pPr>
      <w:r>
        <w:rPr>
          <w:rFonts w:hint="eastAsia" w:ascii="仿宋" w:hAnsi="仿宋" w:eastAsia="仿宋" w:cs="仿宋"/>
          <w:color w:val="000000" w:themeColor="text1"/>
          <w:spacing w:val="-20"/>
          <w:sz w:val="30"/>
          <w:szCs w:val="30"/>
          <w:lang w:val="en-US" w:eastAsia="zh-CN"/>
          <w14:textFill>
            <w14:solidFill>
              <w14:schemeClr w14:val="tx1"/>
            </w14:solidFill>
          </w14:textFill>
        </w:rPr>
        <w:t xml:space="preserve"> 本项目的业主单位为四川九熙农业发展有限公司。在项目收益专项债券发行期间，业主单位将会配合做好本地区项目收益专项债券发行工作，及时准确提供相关资料，配合做好信息披露、信用评级、资产评估等工作。在项目建设期间，业主单位将主动披露项目施工期间的施工进度、项目收益专项债券资金使用情况等信息。项目单位会同项目主管部门将项目资产纳入国有资产进行管理，根据资产形式和类别建立资产登记和统计报告制度，做到项目资产的精细化监督管理。在项目运营期间，业主单位将会履行项目建设运营管理责任，加强成本控制，确保项目形成的专项收入应收尽收，并按照规定及时足额上交。业主单位定期对项目资产开展资产查验工作，重点检验项目资产是否按照国有资产管理相关规定管理，是否按照专项债券发行时设定的用途进行使用，防止国有资产发生流失、减值等情况，保障资产高效运营</w:t>
      </w:r>
      <w:r>
        <w:rPr>
          <w:rFonts w:hint="eastAsia" w:ascii="仿宋" w:hAnsi="仿宋" w:eastAsia="仿宋" w:cs="仿宋"/>
          <w:color w:val="000000" w:themeColor="text1"/>
          <w:spacing w:val="-20"/>
          <w:sz w:val="30"/>
          <w:szCs w:val="30"/>
          <w14:textFill>
            <w14:solidFill>
              <w14:schemeClr w14:val="tx1"/>
            </w14:solidFill>
          </w14:textFill>
        </w:rPr>
        <w:t>。</w:t>
      </w:r>
    </w:p>
    <w:p w14:paraId="48F917CF">
      <w:pPr>
        <w:keepNext w:val="0"/>
        <w:keepLines w:val="0"/>
        <w:pageBreakBefore w:val="0"/>
        <w:kinsoku/>
        <w:wordWrap/>
        <w:overflowPunct/>
        <w:topLinePunct w:val="0"/>
        <w:autoSpaceDE/>
        <w:autoSpaceDN/>
        <w:bidi w:val="0"/>
        <w:spacing w:line="360" w:lineRule="auto"/>
        <w:ind w:firstLine="522" w:firstLineChars="200"/>
        <w:textAlignment w:val="auto"/>
        <w:outlineLvl w:val="0"/>
        <w:rPr>
          <w:rFonts w:hint="eastAsia" w:ascii="仿宋" w:hAnsi="仿宋" w:eastAsia="仿宋" w:cs="仿宋"/>
          <w:b/>
          <w:color w:val="000000" w:themeColor="text1"/>
          <w:spacing w:val="-20"/>
          <w:sz w:val="30"/>
          <w:szCs w:val="30"/>
          <w14:textFill>
            <w14:solidFill>
              <w14:schemeClr w14:val="tx1"/>
            </w14:solidFill>
          </w14:textFill>
        </w:rPr>
      </w:pPr>
      <w:r>
        <w:rPr>
          <w:rFonts w:hint="eastAsia" w:ascii="仿宋" w:hAnsi="仿宋" w:eastAsia="仿宋" w:cs="仿宋"/>
          <w:b/>
          <w:color w:val="000000" w:themeColor="text1"/>
          <w:spacing w:val="-20"/>
          <w:sz w:val="30"/>
          <w:szCs w:val="30"/>
          <w14:textFill>
            <w14:solidFill>
              <w14:schemeClr w14:val="tx1"/>
            </w14:solidFill>
          </w14:textFill>
        </w:rPr>
        <w:t>九、补充信息</w:t>
      </w:r>
    </w:p>
    <w:p w14:paraId="0FB40602">
      <w:pPr>
        <w:keepNext w:val="0"/>
        <w:keepLines w:val="0"/>
        <w:pageBreakBefore w:val="0"/>
        <w:kinsoku/>
        <w:wordWrap/>
        <w:overflowPunct/>
        <w:topLinePunct w:val="0"/>
        <w:autoSpaceDE/>
        <w:autoSpaceDN/>
        <w:bidi w:val="0"/>
        <w:spacing w:line="360" w:lineRule="auto"/>
        <w:ind w:firstLine="594" w:firstLineChars="200"/>
        <w:rPr>
          <w:rFonts w:hint="default" w:ascii="仿宋" w:hAnsi="仿宋" w:eastAsia="仿宋" w:cs="仿宋"/>
          <w:w w:val="99"/>
          <w:sz w:val="30"/>
          <w:szCs w:val="30"/>
          <w:lang w:val="en-US"/>
        </w:rPr>
      </w:pPr>
      <w:r>
        <w:rPr>
          <w:rFonts w:hint="eastAsia" w:ascii="仿宋" w:hAnsi="仿宋" w:eastAsia="仿宋" w:cs="仿宋"/>
          <w:w w:val="99"/>
          <w:sz w:val="30"/>
          <w:szCs w:val="30"/>
        </w:rPr>
        <w:t>根据发行计划</w:t>
      </w:r>
      <w:r>
        <w:rPr>
          <w:rFonts w:hint="eastAsia" w:ascii="仿宋" w:hAnsi="仿宋" w:eastAsia="仿宋" w:cs="仿宋"/>
          <w:color w:val="000000" w:themeColor="text1"/>
          <w:spacing w:val="-20"/>
          <w:kern w:val="2"/>
          <w:sz w:val="30"/>
          <w:szCs w:val="30"/>
          <w:lang w:val="en-US" w:eastAsia="zh-CN" w:bidi="ar-SA"/>
          <w14:textFill>
            <w14:solidFill>
              <w14:schemeClr w14:val="tx1"/>
            </w14:solidFill>
          </w14:textFill>
        </w:rPr>
        <w:t>及额度安排,此项目2022-2024年已累计发行2250.386006</w:t>
      </w:r>
      <w:bookmarkStart w:id="11" w:name="_GoBack"/>
      <w:bookmarkEnd w:id="11"/>
      <w:r>
        <w:rPr>
          <w:rFonts w:hint="eastAsia" w:ascii="仿宋" w:hAnsi="仿宋" w:eastAsia="仿宋" w:cs="仿宋"/>
          <w:color w:val="000000" w:themeColor="text1"/>
          <w:spacing w:val="-20"/>
          <w:kern w:val="2"/>
          <w:sz w:val="30"/>
          <w:szCs w:val="30"/>
          <w:lang w:val="en-US" w:eastAsia="zh-CN" w:bidi="ar-SA"/>
          <w14:textFill>
            <w14:solidFill>
              <w14:schemeClr w14:val="tx1"/>
            </w14:solidFill>
          </w14:textFill>
        </w:rPr>
        <w:t>万元，本次拟发行200万元，期限10年。该项目实施内容及收益来源未发生变动，在不超过项目债券总需求情况下，债券分批次跨年发行对项目整体融资平衡不构成实质影响。</w:t>
      </w:r>
    </w:p>
    <w:p w14:paraId="20CEBEFF">
      <w:pPr>
        <w:keepNext w:val="0"/>
        <w:keepLines w:val="0"/>
        <w:pageBreakBefore w:val="0"/>
        <w:kinsoku/>
        <w:wordWrap/>
        <w:overflowPunct/>
        <w:topLinePunct w:val="0"/>
        <w:autoSpaceDE/>
        <w:autoSpaceDN/>
        <w:bidi w:val="0"/>
        <w:spacing w:line="360" w:lineRule="auto"/>
        <w:ind w:firstLine="520" w:firstLineChars="200"/>
        <w:textAlignment w:val="auto"/>
        <w:rPr>
          <w:rFonts w:hint="eastAsia" w:ascii="仿宋" w:hAnsi="仿宋" w:eastAsia="仿宋" w:cs="仿宋"/>
          <w:color w:val="000000" w:themeColor="text1"/>
          <w:spacing w:val="-20"/>
          <w:sz w:val="30"/>
          <w:szCs w:val="30"/>
          <w14:textFill>
            <w14:solidFill>
              <w14:schemeClr w14:val="tx1"/>
            </w14:solidFill>
          </w14:textFill>
        </w:rPr>
      </w:pPr>
    </w:p>
    <w:sectPr>
      <w:pgSz w:w="11906" w:h="16838"/>
      <w:pgMar w:top="1440" w:right="1800" w:bottom="1418"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楷体">
    <w:altName w:val="宋体"/>
    <w:panose1 w:val="02010600040101010101"/>
    <w:charset w:val="86"/>
    <w:family w:val="auto"/>
    <w:pitch w:val="default"/>
    <w:sig w:usb0="00000000" w:usb1="00000000" w:usb2="00000000" w:usb3="00000000" w:csb0="0004009F" w:csb1="DFD70000"/>
  </w:font>
  <w:font w:name="仿宋_GB2312">
    <w:panose1 w:val="02010609030101010101"/>
    <w:charset w:val="86"/>
    <w:family w:val="auto"/>
    <w:pitch w:val="default"/>
    <w:sig w:usb0="00000001" w:usb1="080E0000" w:usb2="00000000" w:usb3="00000000" w:csb0="00040000" w:csb1="00000000"/>
  </w:font>
  <w:font w:name="LF_Kai">
    <w:altName w:val="宋体"/>
    <w:panose1 w:val="00000000000000000000"/>
    <w:charset w:val="86"/>
    <w:family w:val="script"/>
    <w:pitch w:val="default"/>
    <w:sig w:usb0="00000000" w:usb1="00000000" w:usb2="00000010" w:usb3="00000000" w:csb0="00040000" w:csb1="00000000"/>
  </w:font>
  <w:font w:name="华文仿宋">
    <w:altName w:val="仿宋"/>
    <w:panose1 w:val="02010600040101010101"/>
    <w:charset w:val="86"/>
    <w:family w:val="auto"/>
    <w:pitch w:val="default"/>
    <w:sig w:usb0="00000000" w:usb1="00000000" w:usb2="00000000" w:usb3="00000000" w:csb0="0004009F" w:csb1="DFD70000"/>
  </w:font>
  <w:font w:name="仿宋">
    <w:panose1 w:val="02010609060101010101"/>
    <w:charset w:val="86"/>
    <w:family w:val="auto"/>
    <w:pitch w:val="default"/>
    <w:sig w:usb0="800002BF" w:usb1="38CF7CFA" w:usb2="00000016" w:usb3="00000000" w:csb0="00040001" w:csb1="00000000"/>
  </w:font>
  <w:font w:name="Arial Narrow">
    <w:altName w:val="Arial"/>
    <w:panose1 w:val="020B0606020202030204"/>
    <w:charset w:val="00"/>
    <w:family w:val="swiss"/>
    <w:pitch w:val="default"/>
    <w:sig w:usb0="00000000" w:usb1="00000000" w:usb2="00000000" w:usb3="00000000" w:csb0="2000009F" w:csb1="DFD70000"/>
  </w:font>
  <w:font w:name="微软雅黑">
    <w:panose1 w:val="020B0503020204020204"/>
    <w:charset w:val="86"/>
    <w:family w:val="auto"/>
    <w:pitch w:val="default"/>
    <w:sig w:usb0="80000287" w:usb1="2ACF3C50"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29CE27D"/>
    <w:multiLevelType w:val="multilevel"/>
    <w:tmpl w:val="229CE27D"/>
    <w:lvl w:ilvl="0" w:tentative="0">
      <w:start w:val="1"/>
      <w:numFmt w:val="chineseCounting"/>
      <w:suff w:val="nothing"/>
      <w:lvlText w:val="%1、"/>
      <w:lvlJc w:val="left"/>
      <w:rPr>
        <w:rFonts w:hint="eastAsia" w:cs="Times New Roman"/>
      </w:rPr>
    </w:lvl>
    <w:lvl w:ilvl="1" w:tentative="0">
      <w:start w:val="1"/>
      <w:numFmt w:val="chineseCounting"/>
      <w:suff w:val="nothing"/>
      <w:lvlText w:val="（%2）"/>
      <w:lvlJc w:val="left"/>
      <w:rPr>
        <w:rFonts w:hint="eastAsia" w:cs="Times New Roman"/>
      </w:rPr>
    </w:lvl>
    <w:lvl w:ilvl="2" w:tentative="0">
      <w:start w:val="1"/>
      <w:numFmt w:val="decimal"/>
      <w:pStyle w:val="5"/>
      <w:suff w:val="nothing"/>
      <w:lvlText w:val="%3."/>
      <w:lvlJc w:val="left"/>
      <w:pPr>
        <w:tabs>
          <w:tab w:val="left" w:pos="1610"/>
        </w:tabs>
        <w:ind w:firstLine="400"/>
      </w:pPr>
      <w:rPr>
        <w:rFonts w:ascii="华文楷体" w:hAnsi="华文楷体" w:eastAsia="仿宋_GB2312" w:cs="Times New Roman"/>
      </w:rPr>
    </w:lvl>
    <w:lvl w:ilvl="3" w:tentative="0">
      <w:start w:val="1"/>
      <w:numFmt w:val="decimal"/>
      <w:suff w:val="nothing"/>
      <w:lvlText w:val="（%4）"/>
      <w:lvlJc w:val="left"/>
      <w:pPr>
        <w:ind w:firstLine="402"/>
      </w:pPr>
      <w:rPr>
        <w:rFonts w:hint="eastAsia" w:cs="Times New Roman"/>
      </w:rPr>
    </w:lvl>
    <w:lvl w:ilvl="4" w:tentative="0">
      <w:start w:val="1"/>
      <w:numFmt w:val="decimalEnclosedCircleChinese"/>
      <w:suff w:val="nothing"/>
      <w:lvlText w:val="%5"/>
      <w:lvlJc w:val="left"/>
      <w:pPr>
        <w:ind w:firstLine="402"/>
      </w:pPr>
      <w:rPr>
        <w:rFonts w:hint="eastAsia" w:cs="Times New Roman"/>
      </w:rPr>
    </w:lvl>
    <w:lvl w:ilvl="5" w:tentative="0">
      <w:start w:val="1"/>
      <w:numFmt w:val="decimal"/>
      <w:suff w:val="nothing"/>
      <w:lvlText w:val="%6）"/>
      <w:lvlJc w:val="left"/>
      <w:pPr>
        <w:ind w:firstLine="402"/>
      </w:pPr>
      <w:rPr>
        <w:rFonts w:hint="eastAsia" w:cs="Times New Roman"/>
      </w:rPr>
    </w:lvl>
    <w:lvl w:ilvl="6" w:tentative="0">
      <w:start w:val="1"/>
      <w:numFmt w:val="lowerLetter"/>
      <w:suff w:val="nothing"/>
      <w:lvlText w:val="%7．"/>
      <w:lvlJc w:val="left"/>
      <w:pPr>
        <w:ind w:firstLine="402"/>
      </w:pPr>
      <w:rPr>
        <w:rFonts w:hint="eastAsia" w:cs="Times New Roman"/>
      </w:rPr>
    </w:lvl>
    <w:lvl w:ilvl="7" w:tentative="0">
      <w:start w:val="1"/>
      <w:numFmt w:val="lowerLetter"/>
      <w:suff w:val="nothing"/>
      <w:lvlText w:val="%8）"/>
      <w:lvlJc w:val="left"/>
      <w:pPr>
        <w:ind w:firstLine="402"/>
      </w:pPr>
      <w:rPr>
        <w:rFonts w:hint="eastAsia" w:cs="Times New Roman"/>
      </w:rPr>
    </w:lvl>
    <w:lvl w:ilvl="8" w:tentative="0">
      <w:start w:val="1"/>
      <w:numFmt w:val="lowerRoman"/>
      <w:suff w:val="nothing"/>
      <w:lvlText w:val="%9 "/>
      <w:lvlJc w:val="left"/>
      <w:pPr>
        <w:ind w:firstLine="402"/>
      </w:pPr>
      <w:rPr>
        <w:rFonts w:hint="eastAsia" w:cs="Times New Roman"/>
      </w:rPr>
    </w:lvl>
  </w:abstractNum>
  <w:abstractNum w:abstractNumId="1">
    <w:nsid w:val="604F0079"/>
    <w:multiLevelType w:val="singleLevel"/>
    <w:tmpl w:val="604F0079"/>
    <w:lvl w:ilvl="0" w:tentative="0">
      <w:start w:val="2"/>
      <w:numFmt w:val="chineseCounting"/>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view w:val="normal"/>
  <w:zoom w:percent="140"/>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27ED2E88"/>
    <w:rsid w:val="5DA86469"/>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nhideWhenUsed="0" w:uiPriority="0"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iPriority="99" w:semiHidden="0"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link w:val="34"/>
    <w:qFormat/>
    <w:uiPriority w:val="0"/>
    <w:pPr>
      <w:widowControl w:val="0"/>
      <w:jc w:val="both"/>
    </w:pPr>
    <w:rPr>
      <w:rFonts w:ascii="Calibri" w:hAnsi="Calibri" w:eastAsia="宋体" w:cs="Times New Roman"/>
      <w:kern w:val="2"/>
      <w:sz w:val="21"/>
      <w:szCs w:val="22"/>
      <w:lang w:val="en-US" w:eastAsia="zh-CN" w:bidi="ar-SA"/>
    </w:rPr>
  </w:style>
  <w:style w:type="paragraph" w:styleId="4">
    <w:name w:val="heading 2"/>
    <w:basedOn w:val="1"/>
    <w:next w:val="1"/>
    <w:unhideWhenUsed/>
    <w:qFormat/>
    <w:uiPriority w:val="9"/>
    <w:pPr>
      <w:keepNext/>
      <w:keepLines/>
      <w:spacing w:before="260" w:beforeLines="0" w:beforeAutospacing="0" w:after="260" w:afterLines="0" w:afterAutospacing="0" w:line="413" w:lineRule="auto"/>
      <w:outlineLvl w:val="1"/>
    </w:pPr>
    <w:rPr>
      <w:rFonts w:ascii="Arial" w:hAnsi="Arial" w:eastAsia="黑体"/>
      <w:b/>
      <w:sz w:val="32"/>
    </w:rPr>
  </w:style>
  <w:style w:type="paragraph" w:styleId="5">
    <w:name w:val="heading 3"/>
    <w:basedOn w:val="1"/>
    <w:next w:val="1"/>
    <w:qFormat/>
    <w:uiPriority w:val="0"/>
    <w:pPr>
      <w:keepNext/>
      <w:keepLines/>
      <w:numPr>
        <w:ilvl w:val="2"/>
        <w:numId w:val="1"/>
      </w:numPr>
      <w:tabs>
        <w:tab w:val="left" w:pos="-258"/>
        <w:tab w:val="left" w:pos="0"/>
      </w:tabs>
      <w:spacing w:beforeLines="100" w:afterLines="50" w:line="360" w:lineRule="auto"/>
      <w:jc w:val="left"/>
      <w:outlineLvl w:val="2"/>
    </w:pPr>
    <w:rPr>
      <w:rFonts w:eastAsia="仿宋_GB2312"/>
      <w:b/>
      <w:sz w:val="32"/>
    </w:rPr>
  </w:style>
  <w:style w:type="character" w:default="1" w:styleId="16">
    <w:name w:val="Default Paragraph Font"/>
    <w:unhideWhenUsed/>
    <w:qFormat/>
    <w:uiPriority w:val="1"/>
  </w:style>
  <w:style w:type="table" w:default="1" w:styleId="14">
    <w:name w:val="Normal Table"/>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2">
    <w:name w:val="Body Text"/>
    <w:basedOn w:val="1"/>
    <w:next w:val="3"/>
    <w:link w:val="26"/>
    <w:qFormat/>
    <w:uiPriority w:val="0"/>
    <w:pPr>
      <w:widowControl/>
      <w:adjustRightInd w:val="0"/>
      <w:snapToGrid w:val="0"/>
      <w:spacing w:before="150" w:after="150" w:line="264" w:lineRule="auto"/>
      <w:ind w:firstLine="567"/>
    </w:pPr>
    <w:rPr>
      <w:rFonts w:ascii="华文楷体" w:hAnsi="华文楷体" w:eastAsia="LF_Kai"/>
      <w:kern w:val="0"/>
      <w:sz w:val="20"/>
      <w:szCs w:val="20"/>
      <w:lang w:val="en-GB"/>
    </w:rPr>
  </w:style>
  <w:style w:type="paragraph" w:styleId="3">
    <w:name w:val="toc 1"/>
    <w:basedOn w:val="1"/>
    <w:next w:val="1"/>
    <w:unhideWhenUsed/>
    <w:qFormat/>
    <w:uiPriority w:val="39"/>
    <w:pPr>
      <w:tabs>
        <w:tab w:val="left" w:pos="540"/>
        <w:tab w:val="right" w:leader="dot" w:pos="8296"/>
      </w:tabs>
      <w:adjustRightInd w:val="0"/>
      <w:snapToGrid w:val="0"/>
      <w:spacing w:before="120" w:after="120"/>
      <w:jc w:val="left"/>
    </w:pPr>
    <w:rPr>
      <w:rFonts w:ascii="Calibri" w:hAnsi="Calibri" w:eastAsia="仿宋_GB2312" w:cs="Calibri"/>
      <w:b/>
      <w:bCs/>
      <w:caps/>
      <w:sz w:val="28"/>
      <w:szCs w:val="28"/>
    </w:rPr>
  </w:style>
  <w:style w:type="paragraph" w:styleId="6">
    <w:name w:val="Document Map"/>
    <w:basedOn w:val="1"/>
    <w:link w:val="24"/>
    <w:unhideWhenUsed/>
    <w:qFormat/>
    <w:uiPriority w:val="99"/>
    <w:rPr>
      <w:rFonts w:ascii="宋体"/>
      <w:sz w:val="18"/>
      <w:szCs w:val="18"/>
    </w:rPr>
  </w:style>
  <w:style w:type="paragraph" w:styleId="7">
    <w:name w:val="annotation text"/>
    <w:basedOn w:val="1"/>
    <w:qFormat/>
    <w:uiPriority w:val="0"/>
    <w:pPr>
      <w:jc w:val="left"/>
    </w:pPr>
  </w:style>
  <w:style w:type="paragraph" w:styleId="8">
    <w:name w:val="Body Text Indent"/>
    <w:basedOn w:val="1"/>
    <w:qFormat/>
    <w:uiPriority w:val="0"/>
    <w:pPr>
      <w:spacing w:after="120"/>
      <w:ind w:left="420" w:leftChars="200"/>
    </w:pPr>
  </w:style>
  <w:style w:type="paragraph" w:styleId="9">
    <w:name w:val="Balloon Text"/>
    <w:basedOn w:val="1"/>
    <w:link w:val="21"/>
    <w:unhideWhenUsed/>
    <w:qFormat/>
    <w:uiPriority w:val="99"/>
    <w:rPr>
      <w:sz w:val="18"/>
      <w:szCs w:val="18"/>
    </w:rPr>
  </w:style>
  <w:style w:type="paragraph" w:styleId="10">
    <w:name w:val="footer"/>
    <w:basedOn w:val="1"/>
    <w:link w:val="23"/>
    <w:unhideWhenUsed/>
    <w:qFormat/>
    <w:uiPriority w:val="99"/>
    <w:pPr>
      <w:tabs>
        <w:tab w:val="center" w:pos="4153"/>
        <w:tab w:val="right" w:pos="8306"/>
      </w:tabs>
      <w:snapToGrid w:val="0"/>
      <w:jc w:val="left"/>
    </w:pPr>
    <w:rPr>
      <w:sz w:val="18"/>
      <w:szCs w:val="18"/>
    </w:rPr>
  </w:style>
  <w:style w:type="paragraph" w:styleId="11">
    <w:name w:val="header"/>
    <w:basedOn w:val="1"/>
    <w:link w:val="22"/>
    <w:unhideWhenUsed/>
    <w:qFormat/>
    <w:uiPriority w:val="99"/>
    <w:pPr>
      <w:pBdr>
        <w:bottom w:val="single" w:color="auto" w:sz="6" w:space="1"/>
      </w:pBdr>
      <w:tabs>
        <w:tab w:val="center" w:pos="4153"/>
        <w:tab w:val="right" w:pos="8306"/>
      </w:tabs>
      <w:snapToGrid w:val="0"/>
      <w:jc w:val="center"/>
    </w:pPr>
    <w:rPr>
      <w:sz w:val="18"/>
      <w:szCs w:val="18"/>
    </w:rPr>
  </w:style>
  <w:style w:type="paragraph" w:styleId="12">
    <w:name w:val="Normal (Web)"/>
    <w:basedOn w:val="1"/>
    <w:qFormat/>
    <w:uiPriority w:val="0"/>
    <w:rPr>
      <w:rFonts w:cs="Times New Roman"/>
      <w:sz w:val="24"/>
      <w:szCs w:val="24"/>
    </w:rPr>
  </w:style>
  <w:style w:type="paragraph" w:styleId="13">
    <w:name w:val="Body Text First Indent 2"/>
    <w:basedOn w:val="8"/>
    <w:qFormat/>
    <w:uiPriority w:val="0"/>
    <w:pPr>
      <w:ind w:firstLine="420" w:firstLineChars="200"/>
    </w:pPr>
  </w:style>
  <w:style w:type="table" w:styleId="15">
    <w:name w:val="Table Grid"/>
    <w:basedOn w:val="14"/>
    <w:qFormat/>
    <w:uiPriority w:val="5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17">
    <w:name w:val="page number"/>
    <w:basedOn w:val="16"/>
    <w:qFormat/>
    <w:uiPriority w:val="0"/>
  </w:style>
  <w:style w:type="paragraph" w:customStyle="1" w:styleId="18">
    <w:name w:val="常用样式（方正仿宋简）"/>
    <w:basedOn w:val="1"/>
    <w:qFormat/>
    <w:uiPriority w:val="99"/>
    <w:pPr>
      <w:spacing w:line="560" w:lineRule="exact"/>
      <w:ind w:firstLine="640" w:firstLineChars="200"/>
    </w:pPr>
    <w:rPr>
      <w:sz w:val="32"/>
    </w:rPr>
  </w:style>
  <w:style w:type="character" w:customStyle="1" w:styleId="19">
    <w:name w:val="正文文本 Char"/>
    <w:qFormat/>
    <w:locked/>
    <w:uiPriority w:val="0"/>
    <w:rPr>
      <w:rFonts w:ascii="华文楷体" w:hAnsi="华文楷体" w:eastAsia="LF_Kai" w:cs="Times New Roman"/>
      <w:kern w:val="0"/>
      <w:sz w:val="20"/>
      <w:szCs w:val="20"/>
      <w:lang w:val="en-GB"/>
    </w:rPr>
  </w:style>
  <w:style w:type="character" w:customStyle="1" w:styleId="20">
    <w:name w:val="正文文本 Char1"/>
    <w:basedOn w:val="16"/>
    <w:link w:val="2"/>
    <w:semiHidden/>
    <w:qFormat/>
    <w:uiPriority w:val="99"/>
    <w:rPr>
      <w:rFonts w:ascii="Calibri" w:hAnsi="Calibri" w:eastAsia="宋体" w:cs="Times New Roman"/>
    </w:rPr>
  </w:style>
  <w:style w:type="character" w:customStyle="1" w:styleId="21">
    <w:name w:val="批注框文本 Char"/>
    <w:basedOn w:val="16"/>
    <w:link w:val="9"/>
    <w:semiHidden/>
    <w:qFormat/>
    <w:uiPriority w:val="99"/>
    <w:rPr>
      <w:rFonts w:ascii="Calibri" w:hAnsi="Calibri" w:eastAsia="宋体" w:cs="Times New Roman"/>
      <w:sz w:val="18"/>
      <w:szCs w:val="18"/>
    </w:rPr>
  </w:style>
  <w:style w:type="character" w:customStyle="1" w:styleId="22">
    <w:name w:val="页眉 Char"/>
    <w:basedOn w:val="16"/>
    <w:link w:val="11"/>
    <w:qFormat/>
    <w:uiPriority w:val="99"/>
    <w:rPr>
      <w:rFonts w:ascii="Calibri" w:hAnsi="Calibri" w:eastAsia="宋体" w:cs="Times New Roman"/>
      <w:sz w:val="18"/>
      <w:szCs w:val="18"/>
    </w:rPr>
  </w:style>
  <w:style w:type="character" w:customStyle="1" w:styleId="23">
    <w:name w:val="页脚 Char"/>
    <w:basedOn w:val="16"/>
    <w:link w:val="10"/>
    <w:qFormat/>
    <w:uiPriority w:val="99"/>
    <w:rPr>
      <w:rFonts w:ascii="Calibri" w:hAnsi="Calibri" w:eastAsia="宋体" w:cs="Times New Roman"/>
      <w:sz w:val="18"/>
      <w:szCs w:val="18"/>
    </w:rPr>
  </w:style>
  <w:style w:type="character" w:customStyle="1" w:styleId="24">
    <w:name w:val="文档结构图 Char"/>
    <w:basedOn w:val="16"/>
    <w:link w:val="6"/>
    <w:semiHidden/>
    <w:qFormat/>
    <w:uiPriority w:val="99"/>
    <w:rPr>
      <w:rFonts w:ascii="宋体" w:hAnsi="Calibri"/>
      <w:kern w:val="2"/>
      <w:sz w:val="18"/>
      <w:szCs w:val="18"/>
    </w:rPr>
  </w:style>
  <w:style w:type="paragraph" w:customStyle="1" w:styleId="25">
    <w:name w:val="文本"/>
    <w:basedOn w:val="1"/>
    <w:qFormat/>
    <w:uiPriority w:val="0"/>
    <w:pPr>
      <w:spacing w:line="360" w:lineRule="auto"/>
      <w:ind w:firstLine="200" w:firstLineChars="200"/>
    </w:pPr>
    <w:rPr>
      <w:rFonts w:eastAsiaTheme="minorEastAsia" w:cstheme="minorBidi"/>
    </w:rPr>
  </w:style>
  <w:style w:type="character" w:customStyle="1" w:styleId="26">
    <w:name w:val="正文文本 字符"/>
    <w:basedOn w:val="16"/>
    <w:link w:val="2"/>
    <w:qFormat/>
    <w:uiPriority w:val="0"/>
    <w:rPr>
      <w:kern w:val="2"/>
      <w:sz w:val="21"/>
      <w:szCs w:val="24"/>
    </w:rPr>
  </w:style>
  <w:style w:type="paragraph" w:customStyle="1" w:styleId="27">
    <w:name w:val="目录 11"/>
    <w:basedOn w:val="1"/>
    <w:next w:val="1"/>
    <w:qFormat/>
    <w:uiPriority w:val="0"/>
    <w:pPr>
      <w:adjustRightInd w:val="0"/>
      <w:snapToGrid w:val="0"/>
      <w:spacing w:before="120" w:after="120"/>
      <w:jc w:val="left"/>
    </w:pPr>
    <w:rPr>
      <w:rFonts w:ascii="Calibri" w:hAnsi="Calibri" w:eastAsia="仿宋_GB2312" w:cs="宋体"/>
      <w:b/>
      <w:bCs/>
      <w:caps/>
      <w:sz w:val="28"/>
      <w:szCs w:val="28"/>
    </w:rPr>
  </w:style>
  <w:style w:type="character" w:customStyle="1" w:styleId="28">
    <w:name w:val="font61"/>
    <w:basedOn w:val="16"/>
    <w:qFormat/>
    <w:uiPriority w:val="0"/>
    <w:rPr>
      <w:rFonts w:ascii="华文仿宋" w:hAnsi="华文仿宋" w:eastAsia="华文仿宋" w:cs="华文仿宋"/>
      <w:color w:val="000000"/>
      <w:sz w:val="16"/>
      <w:szCs w:val="16"/>
      <w:u w:val="none"/>
    </w:rPr>
  </w:style>
  <w:style w:type="character" w:customStyle="1" w:styleId="29">
    <w:name w:val="font41"/>
    <w:basedOn w:val="16"/>
    <w:qFormat/>
    <w:uiPriority w:val="0"/>
    <w:rPr>
      <w:rFonts w:hint="default" w:ascii="Arial Narrow" w:hAnsi="Arial Narrow" w:eastAsia="Arial Narrow" w:cs="Arial Narrow"/>
      <w:color w:val="000000"/>
      <w:sz w:val="16"/>
      <w:szCs w:val="16"/>
      <w:u w:val="none"/>
    </w:rPr>
  </w:style>
  <w:style w:type="character" w:customStyle="1" w:styleId="30">
    <w:name w:val="font21"/>
    <w:basedOn w:val="16"/>
    <w:qFormat/>
    <w:uiPriority w:val="0"/>
    <w:rPr>
      <w:rFonts w:ascii="华文仿宋" w:hAnsi="华文仿宋" w:eastAsia="华文仿宋" w:cs="华文仿宋"/>
      <w:color w:val="000000"/>
      <w:sz w:val="16"/>
      <w:szCs w:val="16"/>
      <w:u w:val="none"/>
    </w:rPr>
  </w:style>
  <w:style w:type="character" w:customStyle="1" w:styleId="31">
    <w:name w:val="font01"/>
    <w:basedOn w:val="16"/>
    <w:qFormat/>
    <w:uiPriority w:val="0"/>
    <w:rPr>
      <w:rFonts w:hint="eastAsia" w:ascii="宋体" w:hAnsi="宋体" w:eastAsia="宋体" w:cs="宋体"/>
      <w:color w:val="000000"/>
      <w:sz w:val="12"/>
      <w:szCs w:val="12"/>
      <w:u w:val="none"/>
    </w:rPr>
  </w:style>
  <w:style w:type="character" w:customStyle="1" w:styleId="32">
    <w:name w:val="font31"/>
    <w:basedOn w:val="16"/>
    <w:qFormat/>
    <w:uiPriority w:val="0"/>
    <w:rPr>
      <w:rFonts w:ascii="微软雅黑" w:hAnsi="微软雅黑" w:eastAsia="微软雅黑" w:cs="微软雅黑"/>
      <w:color w:val="000000"/>
      <w:sz w:val="12"/>
      <w:szCs w:val="12"/>
      <w:u w:val="none"/>
    </w:rPr>
  </w:style>
  <w:style w:type="character" w:customStyle="1" w:styleId="33">
    <w:name w:val="font51"/>
    <w:basedOn w:val="16"/>
    <w:qFormat/>
    <w:uiPriority w:val="0"/>
    <w:rPr>
      <w:rFonts w:ascii="微软雅黑" w:hAnsi="微软雅黑" w:eastAsia="微软雅黑" w:cs="微软雅黑"/>
      <w:color w:val="000000"/>
      <w:sz w:val="12"/>
      <w:szCs w:val="12"/>
      <w:u w:val="none"/>
    </w:rPr>
  </w:style>
  <w:style w:type="character" w:customStyle="1" w:styleId="34">
    <w:name w:val="NormalCharacter"/>
    <w:link w:val="1"/>
    <w:qFormat/>
    <w:uiPriority w:val="0"/>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emf"/><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Company>china</Company>
  <Pages>37</Pages>
  <Words>3753</Words>
  <Characters>3877</Characters>
  <Lines>43</Lines>
  <Paragraphs>12</Paragraphs>
  <TotalTime>5</TotalTime>
  <ScaleCrop>false</ScaleCrop>
  <LinksUpToDate>false</LinksUpToDate>
  <CharactersWithSpaces>3877</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2020-08-13T04:56:00Z</dcterms:created>
  <dc:creator>User</dc:creator>
  <cp:lastModifiedBy>dell</cp:lastModifiedBy>
  <cp:lastPrinted>2019-05-19T07:02:00Z</cp:lastPrinted>
  <dcterms:modified xsi:type="dcterms:W3CDTF">2025-12-16T10:02:16Z</dcterms:modified>
  <cp:revision>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45466AEDF7694B108B51E120EE294D7E_13</vt:lpwstr>
  </property>
  <property fmtid="{D5CDD505-2E9C-101B-9397-08002B2CF9AE}" pid="4" name="KSOTemplateDocerSaveRecord">
    <vt:lpwstr>eyJoZGlkIjoiMmFjODQyODVkOGIxZTBhNWJiODRkOTZjNzU3MDRlYWUiLCJ1c2VySWQiOiI0NDY1ODQwMjcifQ==</vt:lpwstr>
  </property>
</Properties>
</file>